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w:t>
      </w:r>
      <w:r/>
    </w:p>
    <w:p>
      <w:pPr>
        <w:ind w:firstLine="300"/>
        <w:spacing w:line="360" w:lineRule="auto"/>
        <w:rPr>
          <w:rFonts w:hint="eastAsia" w:ascii="宋体" w:hAnsi="宋体" w:eastAsia="宋体" w:cs="宋体"/>
          <w:color w:val="auto"/>
          <w:sz w:val="60"/>
          <w:szCs w:val="60"/>
          <w:highlight w:val="none"/>
        </w:rPr>
      </w:pPr>
      <w:r>
        <w:rPr>
          <w:rFonts w:hint="eastAsia" w:ascii="宋体" w:hAnsi="宋体" w:eastAsia="宋体" w:cs="宋体"/>
          <w:color w:val="auto"/>
          <w:sz w:val="60"/>
          <w:szCs w:val="60"/>
          <w:highlight w:val="none"/>
        </w:rPr>
      </w:r>
      <w:r/>
    </w:p>
    <w:p>
      <w:pPr>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r>
      <w:r/>
    </w:p>
    <w:p>
      <w:pPr>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 xml:space="preserve">公开招标文件</w:t>
      </w:r>
      <w:r/>
    </w:p>
    <w:p>
      <w:pPr>
        <w:jc w:val="center"/>
        <w:spacing w:line="360" w:lineRule="auto"/>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r>
      <w:r/>
    </w:p>
    <w:p>
      <w:pPr>
        <w:jc w:val="center"/>
        <w:spacing w:line="360" w:lineRule="auto"/>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r>
      <w:r/>
    </w:p>
    <w:p>
      <w:pPr>
        <w:jc w:val="left"/>
        <w:spacing w:line="360" w:lineRule="auto"/>
        <w:tabs>
          <w:tab w:val="left" w:pos="5609" w:leader="none"/>
        </w:tabs>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项目名称:</w:t>
      </w:r>
      <w:r>
        <w:rPr>
          <w:rFonts w:hint="eastAsia" w:ascii="宋体" w:hAnsi="宋体" w:eastAsia="宋体" w:cs="宋体"/>
          <w:bCs/>
          <w:color w:val="auto"/>
          <w:sz w:val="36"/>
          <w:szCs w:val="36"/>
          <w:highlight w:val="none"/>
          <w:lang w:eastAsia="zh-CN"/>
        </w:rPr>
        <w:t xml:space="preserve">常州机电职业技术学院AI+智慧教学中心服务项目</w:t>
      </w:r>
      <w:r>
        <w:rPr>
          <w:rFonts w:hint="eastAsia" w:ascii="宋体" w:hAnsi="宋体" w:eastAsia="宋体" w:cs="宋体"/>
          <w:bCs/>
          <w:color w:val="auto"/>
          <w:sz w:val="36"/>
          <w:szCs w:val="36"/>
          <w:highlight w:val="none"/>
        </w:rPr>
        <w:tab/>
      </w:r>
      <w:r/>
    </w:p>
    <w:p>
      <w:pPr>
        <w:ind w:left="2832" w:hanging="1900"/>
        <w:jc w:val="left"/>
        <w:spacing w:line="360" w:lineRule="auto"/>
        <w:tabs>
          <w:tab w:val="left" w:pos="3240" w:leader="none"/>
          <w:tab w:val="left" w:pos="3420" w:leader="none"/>
        </w:tabs>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jc w:val="left"/>
        <w:spacing w:line="360" w:lineRule="auto"/>
        <w:tabs>
          <w:tab w:val="left" w:pos="3240" w:leader="none"/>
          <w:tab w:val="left" w:pos="3420" w:leader="none"/>
        </w:tabs>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rPr>
        <w:t xml:space="preserve">项目编号:</w:t>
      </w:r>
      <w:r>
        <w:rPr>
          <w:rFonts w:hint="eastAsia" w:ascii="宋体" w:hAnsi="宋体" w:eastAsia="宋体" w:cs="宋体"/>
          <w:bCs/>
          <w:color w:val="auto"/>
          <w:sz w:val="36"/>
          <w:szCs w:val="36"/>
          <w:highlight w:val="none"/>
          <w:lang w:eastAsia="zh-CN"/>
        </w:rPr>
        <w:t xml:space="preserve">JSZC-320400-CZZJ-G2025-0032</w:t>
      </w:r>
      <w:r/>
    </w:p>
    <w:p>
      <w:pPr>
        <w:jc w:val="left"/>
        <w:spacing w:line="360" w:lineRule="auto"/>
        <w:tabs>
          <w:tab w:val="left" w:pos="3240" w:leader="none"/>
          <w:tab w:val="left" w:pos="3420" w:leader="none"/>
        </w:tabs>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jc w:val="left"/>
        <w:spacing w:line="360" w:lineRule="auto"/>
        <w:tabs>
          <w:tab w:val="left" w:pos="3240" w:leader="none"/>
          <w:tab w:val="left" w:pos="3420" w:leader="none"/>
        </w:tabs>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rPr>
        <w:t xml:space="preserve">采 购 人:</w:t>
      </w:r>
      <w:r>
        <w:rPr>
          <w:rFonts w:hint="eastAsia" w:ascii="宋体" w:hAnsi="宋体" w:eastAsia="宋体" w:cs="宋体"/>
          <w:bCs/>
          <w:color w:val="auto"/>
          <w:sz w:val="36"/>
          <w:szCs w:val="36"/>
          <w:highlight w:val="none"/>
          <w:lang w:eastAsia="zh-CN"/>
        </w:rPr>
        <w:t xml:space="preserve">常州机电职业技术学院</w:t>
      </w:r>
      <w:r/>
    </w:p>
    <w:p>
      <w:pPr>
        <w:ind w:left="2832" w:hanging="1900"/>
        <w:jc w:val="left"/>
        <w:spacing w:line="360" w:lineRule="auto"/>
        <w:tabs>
          <w:tab w:val="left" w:pos="3240" w:leader="none"/>
          <w:tab w:val="left" w:pos="3420" w:leader="none"/>
        </w:tabs>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jc w:val="left"/>
        <w:spacing w:line="360" w:lineRule="auto"/>
        <w:tabs>
          <w:tab w:val="left" w:pos="3240" w:leader="none"/>
          <w:tab w:val="left" w:pos="3420" w:leader="none"/>
        </w:tabs>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采购代理机构:常州中金招投标有限公司 </w:t>
      </w:r>
      <w:r/>
    </w:p>
    <w:p>
      <w:pPr>
        <w:jc w:val="center"/>
        <w:widowControl/>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br w:type="page" w:clear="all"/>
      </w:r>
      <w:bookmarkStart w:id="0" w:name="_Toc104818924"/>
      <w:r/>
      <w:r/>
    </w:p>
    <w:p>
      <w:pPr>
        <w:jc w:val="center"/>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目      录</w:t>
      </w:r>
      <w:bookmarkEnd w:id="0"/>
      <w:r/>
      <w:r/>
    </w:p>
    <w:p>
      <w:pPr>
        <w:pStyle w:val="1009"/>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5"/>
        <w:jc w:val="center"/>
        <w:spacing w:line="48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"_Toc99301373"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第一章   投标邀请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rPr>
        <w:fldChar w:fldCharType="end"/>
      </w:r>
      <w:r/>
    </w:p>
    <w:p>
      <w:pPr>
        <w:pStyle w:val="1005"/>
        <w:jc w:val="center"/>
        <w:spacing w:line="48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"_Toc99301374"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7</w:t>
      </w:r>
      <w:r>
        <w:rPr>
          <w:rFonts w:hint="eastAsia" w:ascii="宋体" w:hAnsi="宋体" w:eastAsia="宋体" w:cs="宋体"/>
          <w:color w:val="auto"/>
          <w:sz w:val="28"/>
          <w:szCs w:val="28"/>
          <w:highlight w:val="none"/>
        </w:rPr>
        <w:fldChar w:fldCharType="end"/>
      </w:r>
      <w:r/>
    </w:p>
    <w:p>
      <w:pPr>
        <w:pStyle w:val="1005"/>
        <w:jc w:val="center"/>
        <w:spacing w:line="48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"_Toc99301375"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第三章   资格审查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4</w:t>
      </w:r>
      <w:r/>
    </w:p>
    <w:p>
      <w:pPr>
        <w:pStyle w:val="1005"/>
        <w:jc w:val="center"/>
        <w:spacing w:line="48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"_Toc99301376"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第四章   评标程序、评标方法和评标标准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26</w:t>
      </w:r>
      <w:r/>
    </w:p>
    <w:p>
      <w:pPr>
        <w:pStyle w:val="1005"/>
        <w:jc w:val="center"/>
        <w:spacing w:line="480" w:lineRule="auto"/>
        <w:rPr>
          <w:rFonts w:hint="eastAsia" w:ascii="宋体" w:hAnsi="宋体" w:eastAsia="宋体" w:cs="宋体"/>
          <w:color w:val="auto"/>
          <w:sz w:val="28"/>
          <w:szCs w:val="28"/>
          <w:highlight w:val="none"/>
          <w:lang w:eastAsia="zh-CN"/>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"_Toc99301377"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第五章   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t xml:space="preserve">7</w:t>
      </w:r>
      <w:r/>
    </w:p>
    <w:p>
      <w:pPr>
        <w:pStyle w:val="1005"/>
        <w:jc w:val="center"/>
        <w:spacing w:line="480" w:lineRule="auto"/>
        <w:rPr>
          <w:rFonts w:hint="eastAsia" w:ascii="宋体" w:hAnsi="宋体" w:eastAsia="宋体" w:cs="宋体"/>
          <w:color w:val="auto"/>
          <w:sz w:val="28"/>
          <w:szCs w:val="28"/>
          <w:highlight w:val="none"/>
          <w:lang w:val="en-US" w:eastAsia="zh-CN"/>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"_Toc99301377"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第六章   拟签订的合同文本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t xml:space="preserve">81</w:t>
      </w:r>
      <w:r/>
    </w:p>
    <w:p>
      <w:pPr>
        <w:pStyle w:val="1005"/>
        <w:jc w:val="center"/>
        <w:spacing w:line="480" w:lineRule="auto"/>
        <w:rPr>
          <w:rFonts w:hint="eastAsia" w:ascii="宋体" w:hAnsi="宋体" w:eastAsia="宋体" w:cs="宋体"/>
          <w:color w:val="auto"/>
          <w:sz w:val="28"/>
          <w:szCs w:val="28"/>
          <w:highlight w:val="none"/>
          <w:lang w:val="en-US" w:eastAsia="zh-CN"/>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"_Toc99301377"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第七章   投标文件的组成及提交须知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t xml:space="preserve">89</w:t>
      </w:r>
      <w:r/>
    </w:p>
    <w:p>
      <w:pPr>
        <w:pStyle w:val="1005"/>
        <w:jc w:val="center"/>
        <w:spacing w:line="480" w:lineRule="auto"/>
        <w:rPr>
          <w:rFonts w:hint="eastAsia" w:ascii="宋体" w:hAnsi="宋体" w:eastAsia="宋体" w:cs="宋体"/>
          <w:color w:val="auto"/>
          <w:sz w:val="28"/>
          <w:szCs w:val="28"/>
          <w:highlight w:val="none"/>
          <w:lang w:val="en-US" w:eastAsia="zh-CN"/>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"_Toc99301377"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第八章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t xml:space="preserve">91</w:t>
      </w:r>
      <w:r/>
    </w:p>
    <w:p>
      <w:pPr>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b/>
          <w:color w:val="auto"/>
          <w:sz w:val="30"/>
          <w:szCs w:val="30"/>
          <w:highlight w:val="none"/>
        </w:rPr>
      </w:pPr>
      <w:r/>
      <w:bookmarkStart w:id="1" w:name="_Toc29705"/>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第一章   </w:t>
      </w:r>
      <w:bookmarkEnd w:id="1"/>
      <w:r/>
      <w:bookmarkStart w:id="2" w:name="_Toc28359002"/>
      <w:r/>
      <w:bookmarkStart w:id="3" w:name="_Toc35393621"/>
      <w:r/>
      <w:bookmarkStart w:id="4" w:name="_Toc35393790"/>
      <w:r/>
      <w:bookmarkStart w:id="5" w:name="_Toc28359079"/>
      <w:r/>
      <w:bookmarkStart w:id="6" w:name="_Hlk24379207"/>
      <w:r>
        <w:rPr>
          <w:rFonts w:hint="eastAsia" w:ascii="宋体" w:hAnsi="宋体" w:eastAsia="宋体" w:cs="宋体"/>
          <w:b/>
          <w:color w:val="auto"/>
          <w:sz w:val="36"/>
          <w:szCs w:val="36"/>
          <w:highlight w:val="none"/>
        </w:rPr>
        <w:t xml:space="preserve">投标邀请</w:t>
      </w:r>
      <w:r/>
    </w:p>
    <w:tbl>
      <w:tblPr>
        <w:tblStyle w:val="10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71"/>
      </w:tblGrid>
      <w:tr>
        <w:trPr>
          <w:jc w:val="center"/>
          <w:trHeight w:val="1439"/>
        </w:trPr>
        <w:tc>
          <w:tcPr>
            <w:tcW w:w="9771"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项目概况</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eastAsia="zh-CN"/>
              </w:rPr>
              <w:t xml:space="preserve">常州机电职业技术学院AI+智慧教学中心服务项目</w:t>
            </w:r>
            <w:r>
              <w:rPr>
                <w:rFonts w:hint="eastAsia" w:ascii="宋体" w:hAnsi="宋体" w:eastAsia="宋体" w:cs="宋体"/>
                <w:color w:val="auto"/>
                <w:sz w:val="24"/>
                <w:highlight w:val="none"/>
              </w:rPr>
              <w:t xml:space="preserve">的潜在</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应在“苏采云”系统(http://jszfcg.jsczt.cn/jszc/login)自行免费下载电子版招标文件,并于</w:t>
            </w:r>
            <w:r>
              <w:rPr>
                <w:rFonts w:hint="eastAsia" w:ascii="宋体" w:hAnsi="宋体" w:eastAsia="宋体" w:cs="宋体"/>
                <w:color w:val="auto"/>
                <w:sz w:val="24"/>
                <w:highlight w:val="none"/>
                <w:lang w:eastAsia="zh-CN"/>
              </w:rPr>
              <w:t xml:space="preserve">2025年12月16日下午14:00</w:t>
            </w:r>
            <w:r>
              <w:rPr>
                <w:rFonts w:hint="eastAsia" w:ascii="宋体" w:hAnsi="宋体" w:eastAsia="宋体" w:cs="宋体"/>
                <w:color w:val="auto"/>
                <w:sz w:val="24"/>
                <w:highlight w:val="none"/>
              </w:rPr>
              <w:t xml:space="preserve">(北京时间)前登录“苏采云”供应商端，通过系统在线提交电子投标文件。</w:t>
            </w:r>
            <w:r/>
          </w:p>
        </w:tc>
      </w:tr>
    </w:tbl>
    <w:p>
      <w:pPr>
        <w:pStyle w:val="971"/>
        <w:jc w:val="left"/>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一、项目基本情况</w:t>
      </w:r>
      <w:bookmarkEnd w:id="2"/>
      <w:r/>
      <w:bookmarkEnd w:id="3"/>
      <w:r/>
      <w:bookmarkEnd w:id="4"/>
      <w:r/>
      <w:bookmarkEnd w:id="5"/>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1.项目编号:</w:t>
      </w:r>
      <w:r>
        <w:rPr>
          <w:rFonts w:hint="eastAsia" w:ascii="宋体" w:hAnsi="宋体" w:eastAsia="宋体" w:cs="宋体"/>
          <w:color w:val="auto"/>
          <w:sz w:val="24"/>
          <w:highlight w:val="none"/>
          <w:lang w:eastAsia="zh-CN"/>
        </w:rPr>
        <w:t xml:space="preserve">JSZC-320400-CZZJ-G2025-0032</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2.项目名称:</w:t>
      </w:r>
      <w:r>
        <w:rPr>
          <w:rFonts w:hint="eastAsia" w:ascii="宋体" w:hAnsi="宋体" w:eastAsia="宋体" w:cs="宋体"/>
          <w:color w:val="auto"/>
          <w:sz w:val="24"/>
          <w:highlight w:val="none"/>
          <w:lang w:eastAsia="zh-CN"/>
        </w:rPr>
        <w:t xml:space="preserve">常州机电职业技术学院AI+智慧教学中心服务项目</w:t>
      </w:r>
      <w:bookmarkEnd w:id="6"/>
      <w:r/>
      <w:r/>
    </w:p>
    <w:p>
      <w:pPr>
        <w:ind w:firstLine="480"/>
        <w:spacing w:line="360" w:lineRule="auto"/>
        <w:rPr>
          <w:rFonts w:hint="eastAsia" w:ascii="宋体" w:hAnsi="宋体" w:eastAsia="宋体" w:cs="宋体"/>
          <w:color w:val="auto"/>
          <w:sz w:val="24"/>
          <w:highlight w:val="none"/>
        </w:rPr>
      </w:pPr>
      <w:r/>
      <w:bookmarkStart w:id="7" w:name="_Toc35393791"/>
      <w:r/>
      <w:bookmarkStart w:id="8" w:name="_Toc28359080"/>
      <w:r/>
      <w:bookmarkStart w:id="9" w:name="_Toc35393622"/>
      <w:r/>
      <w:bookmarkStart w:id="10" w:name="_Toc28359003"/>
      <w:r>
        <w:rPr>
          <w:rFonts w:hint="eastAsia" w:ascii="宋体" w:hAnsi="宋体" w:eastAsia="宋体" w:cs="宋体"/>
          <w:color w:val="auto"/>
          <w:sz w:val="24"/>
          <w:highlight w:val="none"/>
        </w:rPr>
        <w:t xml:space="preserve">3.采购方式:公开招标</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4.项目预算金额:人民币</w:t>
      </w:r>
      <w:r>
        <w:rPr>
          <w:rFonts w:hint="eastAsia" w:ascii="宋体" w:hAnsi="宋体" w:eastAsia="宋体" w:cs="宋体"/>
          <w:color w:val="auto"/>
          <w:sz w:val="24"/>
          <w:highlight w:val="none"/>
          <w:lang w:eastAsia="zh-CN"/>
        </w:rPr>
        <w:t xml:space="preserve">125万元/年，375万元（三年）</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5.项目最高限价:人民币</w:t>
      </w:r>
      <w:r>
        <w:rPr>
          <w:rFonts w:hint="eastAsia" w:ascii="宋体" w:hAnsi="宋体" w:eastAsia="宋体" w:cs="宋体"/>
          <w:color w:val="auto"/>
          <w:sz w:val="24"/>
          <w:highlight w:val="none"/>
          <w:lang w:eastAsia="zh-CN"/>
        </w:rPr>
        <w:t xml:space="preserve">125万元/年，375万元（三年）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采购需求:本项目旨在构建常州机电职业技术学院以学生为中心的AI+智慧教学中心，把各类教学应用平台、教学资源、应用数据等进行一体化整合、打通，借助大数据分析与人工智能技术，深度融合AI教学工具与智能体，支撑个性化教与学，推进教学、资源、管理与评价的一体化建设，推动学校教学全流程数字化整合与智能化升级，助力学校教学管理信息化水平与教学质量全面提升。</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所提供的产品服务需包含如下功能模块:网络教学系统、课堂互动系统、大数据分析系统、AI教学服务、能力图谱、智能体、校本数字教材平台、虚拟教研室平台、校级竞赛管理系统、教师教学能力提升课程资源、一体化教学门户。</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    7.合同履行期限:</w:t>
      </w:r>
      <w:r>
        <w:rPr>
          <w:rFonts w:hint="eastAsia" w:ascii="宋体" w:hAnsi="宋体" w:eastAsia="宋体" w:cs="宋体"/>
          <w:color w:val="auto"/>
          <w:sz w:val="24"/>
          <w:highlight w:val="none"/>
          <w:lang w:eastAsia="zh-CN"/>
        </w:rPr>
        <w:t xml:space="preserve">合同签订三年，合同一年一签，通过采购人考核后方可续签下一年度合同</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交付期限:合同签订生效后20个工作日内实施完成并交付使用。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.本项目是否接受联合体:□是  ■否。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.本项目是否接受进口产品响应:□是  ■否。</w:t>
      </w:r>
      <w:r/>
    </w:p>
    <w:p>
      <w:pPr>
        <w:pStyle w:val="971"/>
        <w:jc w:val="left"/>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二、申请人的资格要求(须同时满足</w:t>
      </w:r>
      <w:bookmarkEnd w:id="7"/>
      <w:r/>
      <w:bookmarkEnd w:id="8"/>
      <w:r/>
      <w:bookmarkEnd w:id="9"/>
      <w:r/>
      <w:bookmarkEnd w:id="10"/>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highlight w:val="none"/>
        </w:rPr>
      </w:pPr>
      <w:r/>
      <w:bookmarkStart w:id="11" w:name="_Toc28359081"/>
      <w:r/>
      <w:bookmarkStart w:id="12" w:name="_Toc28359004"/>
      <w:r>
        <w:rPr>
          <w:rFonts w:hint="eastAsia" w:ascii="宋体" w:hAnsi="宋体" w:eastAsia="宋体" w:cs="宋体"/>
          <w:color w:val="auto"/>
          <w:sz w:val="24"/>
          <w:highlight w:val="none"/>
        </w:rPr>
        <w:t xml:space="preserve">1.满足《中华人民共和国政府采购法》第二十二条规定以及下列情形: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2.落实政府采购政策需满足的资格要求:</w:t>
      </w:r>
      <w:bookmarkEnd w:id="11"/>
      <w:r/>
      <w:bookmarkEnd w:id="12"/>
      <w:r/>
      <w:r/>
    </w:p>
    <w:p>
      <w:pPr>
        <w:ind w:firstLine="480"/>
        <w:spacing w:line="360" w:lineRule="auto"/>
        <w:rPr>
          <w:rFonts w:hint="eastAsia" w:ascii="宋体" w:hAnsi="宋体" w:eastAsia="宋体" w:cs="宋体"/>
          <w:color w:val="auto"/>
          <w:sz w:val="24"/>
          <w:highlight w:val="none"/>
        </w:rPr>
      </w:pPr>
      <w:r/>
      <w:bookmarkStart w:id="13" w:name="_Toc35393623"/>
      <w:r/>
      <w:bookmarkStart w:id="14" w:name="_Toc35393792"/>
      <w:r>
        <w:rPr>
          <w:rFonts w:hint="eastAsia" w:ascii="宋体" w:hAnsi="宋体" w:eastAsia="宋体" w:cs="宋体"/>
          <w:color w:val="auto"/>
          <w:sz w:val="24"/>
          <w:highlight w:val="none"/>
        </w:rPr>
        <w:t xml:space="preserve">2.1 中小企业政策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□本项目不专门面向中小企业预留采购份额。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■本项目专门面向  ■中小 □小微企业  采购。即:提供的货物全部由符合政策要求的中小/小微企业制造、服务全部由符合政策要求的中小/小微企业承接。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□本项目预留部分采购项目预算专门面向中小企业采购。对于预留份额，提供的货物由符合政策要求的中小企业制造、服务由符合政策要求的中小企业承接。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其它落实政府采购政策的资格要求:无。</w:t>
      </w:r>
      <w:r/>
    </w:p>
    <w:p>
      <w:pPr>
        <w:ind w:firstLine="480"/>
        <w:spacing w:line="360" w:lineRule="auto"/>
        <w:rPr>
          <w:rFonts w:hint="eastAsia" w:ascii="宋体" w:hAnsi="宋体" w:eastAsia="宋体" w:cs="宋体"/>
          <w:i/>
          <w:iCs/>
          <w:color w:val="auto"/>
          <w:sz w:val="24"/>
          <w:highlight w:val="none"/>
          <w:u w:val="single"/>
        </w:rPr>
      </w:pPr>
      <w:r>
        <w:rPr>
          <w:rFonts w:hint="eastAsia" w:ascii="宋体" w:hAnsi="宋体" w:eastAsia="宋体" w:cs="宋体"/>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i/>
          <w:iCs/>
          <w:color w:val="auto"/>
          <w:sz w:val="24"/>
          <w:highlight w:val="none"/>
        </w:rPr>
      </w:pPr>
      <w:r>
        <w:rPr>
          <w:rFonts w:hint="eastAsia" w:ascii="宋体" w:hAnsi="宋体" w:eastAsia="宋体" w:cs="宋体"/>
          <w:color w:val="auto"/>
          <w:sz w:val="24"/>
          <w:highlight w:val="none"/>
        </w:rPr>
        <w:t xml:space="preserve">3.1本项目是否接受分支机构参与响应:□是   ■否；</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本项目是否属于政府购买服务:</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是,公益一类事业单位、使用事业编制且由财政拨款保障的群团组织,不得作为承接主体；</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3.3其他特定资格要求:</w:t>
      </w:r>
      <w:r>
        <w:rPr>
          <w:rFonts w:hint="eastAsia" w:ascii="宋体" w:hAnsi="宋体" w:eastAsia="宋体" w:cs="宋体"/>
          <w:color w:val="auto"/>
          <w:sz w:val="24"/>
          <w:highlight w:val="none"/>
          <w:lang w:val="en-US" w:eastAsia="zh-CN"/>
        </w:rPr>
        <w:t xml:space="preserve">无</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三、获取</w:t>
      </w:r>
      <w:bookmarkEnd w:id="13"/>
      <w:r/>
      <w:bookmarkEnd w:id="14"/>
      <w:r>
        <w:rPr>
          <w:rFonts w:hint="eastAsia" w:ascii="宋体" w:hAnsi="宋体" w:eastAsia="宋体" w:cs="宋体"/>
          <w:b/>
          <w:bCs/>
          <w:color w:val="auto"/>
          <w:sz w:val="24"/>
          <w:highlight w:val="none"/>
        </w:rPr>
        <w:t xml:space="preserve">招标文件</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1.时间:自招标文件公告发布之日起5个工作日。</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bookmarkStart w:id="15" w:name="_Toc35393793"/>
      <w:r/>
      <w:bookmarkStart w:id="16" w:name="_Toc28359005"/>
      <w:r/>
      <w:bookmarkStart w:id="17" w:name="_Toc35393624"/>
      <w:r/>
      <w:bookmarkStart w:id="18" w:name="_Toc28359082"/>
      <w:r>
        <w:rPr>
          <w:rFonts w:hint="eastAsia" w:ascii="宋体" w:hAnsi="宋体" w:eastAsia="宋体" w:cs="宋体"/>
          <w:color w:val="auto"/>
          <w:sz w:val="24"/>
          <w:highlight w:val="none"/>
        </w:rPr>
        <w:t xml:space="preserve">2.获取方式</w:t>
      </w:r>
      <w:bookmarkStart w:id="19" w:name="_Toc38985266"/>
      <w:r>
        <w:rPr>
          <w:rFonts w:hint="eastAsia" w:ascii="宋体" w:hAnsi="宋体" w:eastAsia="宋体" w:cs="宋体"/>
          <w:color w:val="auto"/>
          <w:sz w:val="24"/>
          <w:highlight w:val="none"/>
        </w:rPr>
        <w:t xml:space="preserve">:在“苏采云”平台自行免费下载电子招标文件。</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注:因本项目通过“苏采云”系统采用电子化不见面交易的模式，</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通过“常州市政府采购网”下载招标文件后，还必须登录“苏采云”系统下载电子招标文件方可通过系统进行投标文件的编制和提交。</w:t>
      </w:r>
      <w:bookmarkEnd w:id="19"/>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3.下载方式:</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登录常州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4.售价:免费。</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5.投标保证金:本项目不收取投标保证金。</w:t>
      </w:r>
      <w:r/>
    </w:p>
    <w:p>
      <w:pPr>
        <w:pStyle w:val="971"/>
        <w:jc w:val="left"/>
        <w:spacing w:before="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w:t>
      </w:r>
      <w:bookmarkEnd w:id="15"/>
      <w:r/>
      <w:bookmarkEnd w:id="16"/>
      <w:r/>
      <w:bookmarkEnd w:id="17"/>
      <w:r/>
      <w:bookmarkEnd w:id="18"/>
      <w:r>
        <w:rPr>
          <w:rFonts w:hint="eastAsia" w:ascii="宋体" w:hAnsi="宋体" w:eastAsia="宋体" w:cs="宋体"/>
          <w:color w:val="auto"/>
          <w:sz w:val="24"/>
          <w:szCs w:val="24"/>
          <w:highlight w:val="none"/>
        </w:rPr>
        <w:t xml:space="preserve">提交投标文件截止时间、开标时间和地点</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lang w:bidi="ar"/>
        </w:rPr>
        <w:t xml:space="preserve">1.投标截止时间、开标时间:</w:t>
      </w:r>
      <w:r>
        <w:rPr>
          <w:rFonts w:hint="eastAsia" w:ascii="宋体" w:hAnsi="宋体" w:eastAsia="宋体" w:cs="宋体"/>
          <w:color w:val="auto"/>
          <w:sz w:val="24"/>
          <w:highlight w:val="none"/>
          <w:lang w:eastAsia="zh-CN"/>
        </w:rPr>
        <w:t xml:space="preserve">2025年12月16日下午14:00</w:t>
      </w:r>
      <w:r>
        <w:rPr>
          <w:rFonts w:hint="eastAsia" w:ascii="宋体" w:hAnsi="宋体" w:eastAsia="宋体" w:cs="宋体"/>
          <w:bCs/>
          <w:color w:val="auto"/>
          <w:sz w:val="24"/>
          <w:highlight w:val="none"/>
          <w:lang w:bidi="ar"/>
        </w:rPr>
        <w:t xml:space="preserve">(北京时间)</w:t>
      </w:r>
      <w:r>
        <w:rPr>
          <w:rFonts w:hint="eastAsia" w:ascii="宋体" w:hAnsi="宋体" w:eastAsia="宋体" w:cs="宋体"/>
          <w:iCs/>
          <w:color w:val="auto"/>
          <w:sz w:val="24"/>
          <w:highlight w:val="none"/>
          <w:lang w:bidi="ar"/>
        </w:rPr>
        <w:t xml:space="preserve">。</w:t>
      </w:r>
      <w:r/>
    </w:p>
    <w:p>
      <w:pPr>
        <w:ind w:firstLine="480"/>
        <w:spacing w:line="360" w:lineRule="auto"/>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bidi="ar"/>
        </w:rPr>
        <w:t xml:space="preserve">2.地点:本项目采用不见面交易方式，无需到现场提交，投标人登录“苏采云”政府采购交易系统供应商端在线提交电子投标文件，在“苏采云”政府采购交易系统网上开标大厅开标。</w:t>
      </w:r>
      <w:r/>
    </w:p>
    <w:p>
      <w:pPr>
        <w:pStyle w:val="971"/>
        <w:jc w:val="left"/>
        <w:spacing w:before="0" w:line="360" w:lineRule="auto"/>
        <w:rPr>
          <w:rFonts w:hint="eastAsia" w:ascii="宋体" w:hAnsi="宋体" w:eastAsia="宋体" w:cs="宋体"/>
          <w:color w:val="auto"/>
          <w:sz w:val="24"/>
          <w:szCs w:val="24"/>
          <w:highlight w:val="none"/>
        </w:rPr>
      </w:pPr>
      <w:r/>
      <w:bookmarkStart w:id="20" w:name="_Toc35393625"/>
      <w:r/>
      <w:bookmarkStart w:id="21" w:name="_Toc35393794"/>
      <w:r/>
      <w:bookmarkStart w:id="22" w:name="_Toc28359007"/>
      <w:r/>
      <w:bookmarkStart w:id="23" w:name="_Toc28359084"/>
      <w:r>
        <w:rPr>
          <w:rFonts w:hint="eastAsia" w:ascii="宋体" w:hAnsi="宋体" w:eastAsia="宋体" w:cs="宋体"/>
          <w:color w:val="auto"/>
          <w:sz w:val="24"/>
          <w:szCs w:val="24"/>
          <w:highlight w:val="none"/>
        </w:rPr>
        <w:t xml:space="preserve">五、公告期限</w:t>
      </w:r>
      <w:bookmarkEnd w:id="20"/>
      <w:r/>
      <w:bookmarkEnd w:id="21"/>
      <w:r/>
      <w:bookmarkEnd w:id="22"/>
      <w:r/>
      <w:bookmarkEnd w:id="23"/>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pStyle w:val="971"/>
        <w:jc w:val="left"/>
        <w:spacing w:before="0" w:line="360" w:lineRule="auto"/>
        <w:rPr>
          <w:rFonts w:hint="eastAsia" w:ascii="宋体" w:hAnsi="宋体" w:eastAsia="宋体" w:cs="宋体"/>
          <w:color w:val="auto"/>
          <w:sz w:val="24"/>
          <w:szCs w:val="24"/>
          <w:highlight w:val="none"/>
        </w:rPr>
      </w:pPr>
      <w:r/>
      <w:bookmarkStart w:id="24" w:name="_Toc35393626"/>
      <w:r/>
      <w:bookmarkStart w:id="25" w:name="_Toc35393795"/>
      <w:r>
        <w:rPr>
          <w:rFonts w:hint="eastAsia" w:ascii="宋体" w:hAnsi="宋体" w:eastAsia="宋体" w:cs="宋体"/>
          <w:color w:val="auto"/>
          <w:sz w:val="24"/>
          <w:szCs w:val="24"/>
          <w:highlight w:val="none"/>
        </w:rPr>
        <w:t xml:space="preserve">六、其他补充事宜</w:t>
      </w:r>
      <w:bookmarkEnd w:id="24"/>
      <w:r/>
      <w:bookmarkEnd w:id="25"/>
      <w:r/>
      <w:r/>
    </w:p>
    <w:p>
      <w:pPr>
        <w:ind w:firstLine="480"/>
        <w:spacing w:line="360" w:lineRule="auto"/>
        <w:rPr>
          <w:rFonts w:hint="eastAsia" w:ascii="宋体" w:hAnsi="宋体" w:eastAsia="宋体" w:cs="宋体"/>
          <w:color w:val="auto"/>
          <w:sz w:val="24"/>
          <w:highlight w:val="none"/>
        </w:rPr>
      </w:pPr>
      <w:r/>
      <w:bookmarkStart w:id="26" w:name="_Toc28359008"/>
      <w:r/>
      <w:bookmarkStart w:id="27" w:name="_Toc35393796"/>
      <w:r/>
      <w:bookmarkStart w:id="28" w:name="_Toc28359085"/>
      <w:r/>
      <w:bookmarkStart w:id="29" w:name="_Toc35393627"/>
      <w:r>
        <w:rPr>
          <w:rFonts w:hint="eastAsia" w:ascii="宋体" w:hAnsi="宋体" w:eastAsia="宋体" w:cs="宋体"/>
          <w:color w:val="auto"/>
          <w:sz w:val="24"/>
          <w:highlight w:val="none"/>
        </w:rPr>
        <w:t xml:space="preserve">1.本项目需要落实的政府采购政策:</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采用不见面交易方式，请供应商认真学习常州市政府采购网发布的相关操作手册，办理CA认证证书、进行“苏采云”政府采购交易系统注册绑定，并认真核实数字认证证书情况确认是否符合本项目电子化采购流程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技术支持服务热线:0519-85588210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CA认证证书办理(可邮寄)联系电话:0519-85588120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根据江苏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3.1办理CA认证证书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供应商登录常州市政府采购网“下载中心”下载并查阅 “常州市政府采购业务管理平台(供应商)国信CA证书办理指南”，按照程序要求办理。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3.2注册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供应商登录常州市政府采购网“下载中心”下载并查阅 “苏采云”系统供应商操作手册”，按照程序要求注册。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3.3控件、客户端下载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供应商登录常州市政府采购网“下载中心”下载并查阅“政府采购管理交易系统(苏采云)CA及签章控件驱动”下载相关控件和客户端。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3.4编制电子投标文件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3.5注意事项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供应商在开标前应当使用“验证CA”功能验证本地计算机的控件环境是否正常，并且在开标、评审过程中不可随意更换计算机，必须使用验证成功的计算机进行操作，否则造成相应后果由投标人自行承担。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4.关于常州市中小企业政府采购信用融资: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 </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七、对本项目提出询问，请按以下方式联系</w:t>
      </w:r>
      <w:bookmarkEnd w:id="26"/>
      <w:r/>
      <w:bookmarkEnd w:id="27"/>
      <w:r/>
      <w:bookmarkEnd w:id="28"/>
      <w:r/>
      <w:bookmarkEnd w:id="29"/>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1.采购人信息</w:t>
      </w:r>
      <w:r/>
    </w:p>
    <w:p>
      <w:pPr>
        <w:ind w:firstLine="480"/>
        <w:spacing w:line="360" w:lineRule="auto"/>
        <w:rPr>
          <w:rFonts w:hint="eastAsia" w:ascii="宋体" w:hAnsi="宋体" w:eastAsia="宋体" w:cs="宋体"/>
          <w:color w:val="auto"/>
          <w:sz w:val="24"/>
          <w:highlight w:val="none"/>
          <w:lang w:eastAsia="zh-CN"/>
        </w:rPr>
      </w:pPr>
      <w:r/>
      <w:bookmarkStart w:id="30" w:name="_Toc28359009"/>
      <w:r/>
      <w:bookmarkStart w:id="31" w:name="_Toc28359086"/>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常州机电职业技术学院</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常州市武进区鸣新中路26号</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eastAsia="zh-CN"/>
        </w:rPr>
        <w:t xml:space="preserve">封老师</w:t>
      </w:r>
      <w:r/>
    </w:p>
    <w:p>
      <w:pPr>
        <w:ind w:left="479"/>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lang w:eastAsia="zh-CN"/>
        </w:rPr>
        <w:t xml:space="preserve">0519-86331299</w:t>
      </w:r>
      <w:r>
        <w:rPr>
          <w:rFonts w:hint="eastAsia" w:ascii="宋体" w:hAnsi="宋体" w:eastAsia="宋体" w:cs="宋体"/>
          <w:color w:val="auto"/>
          <w:sz w:val="24"/>
          <w:highlight w:val="none"/>
        </w:rPr>
        <w:br/>
      </w:r>
      <w:r>
        <w:rPr>
          <w:rFonts w:hint="eastAsia" w:ascii="宋体" w:hAnsi="宋体" w:eastAsia="宋体" w:cs="宋体"/>
          <w:b/>
          <w:color w:val="auto"/>
          <w:sz w:val="24"/>
          <w:highlight w:val="none"/>
        </w:rPr>
        <w:t xml:space="preserve">2.采购代理机构信息</w:t>
      </w:r>
      <w:bookmarkEnd w:id="30"/>
      <w:r/>
      <w:bookmarkEnd w:id="31"/>
      <w:r/>
      <w:r/>
    </w:p>
    <w:p>
      <w:pPr>
        <w:ind w:firstLine="480"/>
        <w:jc w:val="left"/>
        <w:spacing w:line="360" w:lineRule="auto"/>
        <w:rPr>
          <w:rFonts w:hint="eastAsia" w:ascii="宋体" w:hAnsi="宋体" w:eastAsia="宋体" w:cs="宋体"/>
          <w:color w:val="auto"/>
          <w:sz w:val="24"/>
          <w:highlight w:val="none"/>
        </w:rPr>
      </w:pPr>
      <w:r/>
      <w:bookmarkStart w:id="32" w:name="_Toc28359087"/>
      <w:r/>
      <w:bookmarkStart w:id="33" w:name="_Toc28359010"/>
      <w:r>
        <w:rPr>
          <w:rFonts w:hint="eastAsia" w:ascii="宋体" w:hAnsi="宋体" w:eastAsia="宋体" w:cs="宋体"/>
          <w:color w:val="auto"/>
          <w:sz w:val="24"/>
          <w:highlight w:val="none"/>
        </w:rPr>
        <w:t xml:space="preserve">名称:常州中金招投标有限公司</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地址:江苏省常州市天宁区锦绣路锦绣东苑29幢4楼401号(常州市政务服务中心对面)</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 系 人:孔女士、倪女士</w:t>
      </w:r>
      <w:r/>
    </w:p>
    <w:p>
      <w:pPr>
        <w:ind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联系电话:0519-85958666</w:t>
      </w:r>
      <w:r/>
    </w:p>
    <w:p>
      <w:pPr>
        <w:ind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3.项目联系方式</w:t>
      </w:r>
      <w:bookmarkEnd w:id="32"/>
      <w:r/>
      <w:bookmarkEnd w:id="33"/>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 系 人:潘女士</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联系电话:0519-85958666</w:t>
      </w:r>
      <w:r/>
    </w:p>
    <w:p>
      <w:pPr>
        <w:jc w:val="center"/>
        <w:spacing w:line="360" w:lineRule="auto"/>
        <w:rPr>
          <w:rFonts w:hint="eastAsia" w:ascii="宋体" w:hAnsi="宋体" w:eastAsia="宋体" w:cs="宋体"/>
          <w:b/>
          <w:color w:val="auto"/>
          <w:sz w:val="36"/>
          <w:szCs w:val="36"/>
          <w:highlight w:val="none"/>
        </w:rPr>
        <w:outlineLvl w:val="0"/>
      </w:pPr>
      <w:r/>
      <w:bookmarkStart w:id="34" w:name="_Toc150774724"/>
      <w:r/>
      <w:bookmarkStart w:id="35" w:name="_Toc164229214"/>
      <w:r/>
      <w:bookmarkStart w:id="36" w:name="_Toc150774619"/>
      <w:r/>
      <w:bookmarkStart w:id="37" w:name="_Toc195842884"/>
      <w:r/>
      <w:bookmarkStart w:id="38" w:name="_Toc151193617"/>
      <w:r/>
      <w:bookmarkStart w:id="39" w:name="_Toc150509270"/>
      <w:r/>
      <w:bookmarkStart w:id="40" w:name="_Toc164608633"/>
      <w:r/>
      <w:bookmarkStart w:id="41" w:name="_Toc164229360"/>
      <w:r/>
      <w:bookmarkStart w:id="42" w:name="_Toc127161433"/>
      <w:r/>
      <w:bookmarkStart w:id="43" w:name="_Toc151193761"/>
      <w:r/>
      <w:bookmarkStart w:id="44" w:name="_Toc226965792"/>
      <w:r/>
      <w:bookmarkStart w:id="45" w:name="_Toc164608788"/>
      <w:r/>
      <w:bookmarkStart w:id="46" w:name="_Toc127151519"/>
      <w:r/>
      <w:bookmarkStart w:id="47" w:name="_Toc226309763"/>
      <w:r/>
      <w:bookmarkStart w:id="48" w:name="_Toc149720812"/>
      <w:r/>
      <w:bookmarkStart w:id="49" w:name="_Toc151190146"/>
      <w:r/>
      <w:bookmarkStart w:id="50" w:name="_Toc151193833"/>
      <w:r/>
      <w:bookmarkStart w:id="51" w:name="_Toc142311021"/>
      <w:r/>
      <w:bookmarkStart w:id="52" w:name="_Toc520356144"/>
      <w:r/>
      <w:bookmarkStart w:id="53" w:name="_Toc226337215"/>
      <w:r/>
      <w:bookmarkStart w:id="54" w:name="_Toc151193689"/>
      <w:r/>
      <w:bookmarkStart w:id="55" w:name="_Toc164351613"/>
      <w:r/>
      <w:bookmarkStart w:id="56" w:name="_Toc127151720"/>
      <w:r/>
      <w:bookmarkStart w:id="57" w:name="_Toc151193907"/>
      <w:r/>
      <w:bookmarkStart w:id="58" w:name="_Toc226965709"/>
      <w:r/>
      <w:bookmarkStart w:id="59" w:name="_Toc150480757"/>
      <w:r>
        <w:rPr>
          <w:rFonts w:hint="eastAsia" w:ascii="宋体" w:hAnsi="宋体" w:eastAsia="宋体" w:cs="宋体"/>
          <w:b/>
          <w:color w:val="auto"/>
          <w:sz w:val="36"/>
          <w:szCs w:val="36"/>
          <w:highlight w:val="none"/>
        </w:rPr>
        <w:br w:type="page" w:clear="all"/>
      </w:r>
      <w:bookmarkStart w:id="60" w:name="_Toc29542"/>
      <w:r>
        <w:rPr>
          <w:rFonts w:hint="eastAsia" w:ascii="宋体" w:hAnsi="宋体" w:eastAsia="宋体" w:cs="宋体"/>
          <w:b/>
          <w:color w:val="auto"/>
          <w:sz w:val="36"/>
          <w:szCs w:val="36"/>
          <w:highlight w:val="none"/>
        </w:rPr>
        <w:t xml:space="preserve">第二章   </w:t>
      </w:r>
      <w:bookmarkEnd w:id="60"/>
      <w:r>
        <w:rPr>
          <w:rFonts w:hint="eastAsia" w:ascii="宋体" w:hAnsi="宋体" w:eastAsia="宋体" w:cs="宋体"/>
          <w:b/>
          <w:color w:val="auto"/>
          <w:sz w:val="36"/>
          <w:szCs w:val="36"/>
          <w:highlight w:val="none"/>
        </w:rPr>
        <w:t xml:space="preserve">投标人须知</w:t>
      </w:r>
      <w:r/>
    </w:p>
    <w:p>
      <w:pPr>
        <w:pStyle w:val="971"/>
        <w:spacing w:before="0" w:line="360" w:lineRule="auto"/>
        <w:tabs>
          <w:tab w:val="center" w:pos="4592" w:leader="none"/>
          <w:tab w:val="left" w:pos="7860" w:leader="none"/>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第一节 投标人须知资料表</w:t>
      </w:r>
      <w:r/>
    </w:p>
    <w:p>
      <w:pPr>
        <w:ind w:firstLine="482"/>
        <w:spacing w:line="336"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本表是对投标人须知的具体补充和修改，如有矛盾，均以本资料表为准。标记“</w:t>
      </w: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”的选项意为适用于本项目，标记“□”的选项意为不适用于本项目。</w:t>
      </w:r>
      <w:r/>
    </w:p>
    <w:tbl>
      <w:tblPr>
        <w:tblStyle w:val="980"/>
        <w:tblW w:w="101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755"/>
        <w:gridCol w:w="7644"/>
      </w:tblGrid>
      <w:tr>
        <w:trPr>
          <w:jc w:val="center"/>
          <w:tblHeader/>
        </w:trPr>
        <w:tc>
          <w:tcPr>
            <w:tcW w:w="73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条目</w:t>
            </w:r>
            <w:r/>
          </w:p>
        </w:tc>
        <w:tc>
          <w:tcPr>
            <w:tcW w:w="764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内容</w:t>
            </w:r>
            <w:r/>
          </w:p>
        </w:tc>
      </w:tr>
      <w:tr>
        <w:trPr>
          <w:jc w:val="center"/>
        </w:trPr>
        <w:tc>
          <w:tcPr>
            <w:tcW w:w="731" w:type="dxa"/>
            <w:vAlign w:val="center"/>
            <w:textDirection w:val="lrTb"/>
            <w:noWrap w:val="false"/>
          </w:tcPr>
          <w:p>
            <w:pPr>
              <w:pStyle w:val="997"/>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项目属性:■服务          □货物            □工程</w:t>
            </w:r>
            <w:r/>
          </w:p>
        </w:tc>
      </w:tr>
      <w:tr>
        <w:trPr>
          <w:jc w:val="center"/>
        </w:trPr>
        <w:tc>
          <w:tcPr>
            <w:tcW w:w="731" w:type="dxa"/>
            <w:vAlign w:val="center"/>
            <w:textDirection w:val="lrTb"/>
            <w:noWrap w:val="false"/>
          </w:tcPr>
          <w:p>
            <w:pPr>
              <w:pStyle w:val="997"/>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科研仪器设备</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是否属于科研仪器设备采购项目:□是          ■否</w:t>
            </w:r>
            <w:r/>
          </w:p>
        </w:tc>
      </w:tr>
      <w:tr>
        <w:trPr>
          <w:jc w:val="center"/>
        </w:trPr>
        <w:tc>
          <w:tcPr>
            <w:tcW w:w="731" w:type="dxa"/>
            <w:vAlign w:val="center"/>
            <w:textDirection w:val="lrTb"/>
            <w:noWrap w:val="false"/>
          </w:tcPr>
          <w:p>
            <w:pPr>
              <w:pStyle w:val="997"/>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核心产品</w:t>
            </w:r>
            <w:r/>
          </w:p>
        </w:tc>
        <w:tc>
          <w:tcPr>
            <w:tcW w:w="7644" w:type="dxa"/>
            <w:vAlign w:val="center"/>
            <w:textDirection w:val="lrTb"/>
            <w:noWrap w:val="false"/>
          </w:tcPr>
          <w:p>
            <w:pPr>
              <w:pStyle w:val="997"/>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关于核心产品，本项目不适用。</w:t>
            </w:r>
            <w:r/>
          </w:p>
          <w:p>
            <w:pPr>
              <w:pStyle w:val="997"/>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包为单一产品采购项目。</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□本项目为非单一产品采购项目，核心产品为:</w:t>
            </w:r>
            <w:r>
              <w:rPr>
                <w:rFonts w:hint="eastAsia" w:ascii="宋体" w:hAnsi="宋体" w:eastAsia="宋体" w:cs="宋体"/>
                <w:b/>
                <w:bCs/>
                <w:color w:val="auto"/>
                <w:sz w:val="24"/>
                <w:szCs w:val="24"/>
                <w:highlight w:val="none"/>
                <w:u w:val="single"/>
              </w:rPr>
              <w:t xml:space="preserve">/</w:t>
            </w:r>
            <w:r/>
          </w:p>
        </w:tc>
      </w:tr>
      <w:tr>
        <w:trPr>
          <w:jc w:val="center"/>
        </w:trPr>
        <w:tc>
          <w:tcPr>
            <w:tcW w:w="731" w:type="dxa"/>
            <w:vAlign w:val="center"/>
            <w:textDirection w:val="lrTb"/>
            <w:noWrap w:val="false"/>
          </w:tcPr>
          <w:p>
            <w:pPr>
              <w:pStyle w:val="997"/>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现场考察</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■不组织</w:t>
            </w:r>
            <w:r/>
          </w:p>
          <w:p>
            <w:pPr>
              <w:jc w:val="left"/>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□组织，考察时间: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月</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日</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分</w:t>
            </w:r>
            <w:r/>
          </w:p>
          <w:p>
            <w:pPr>
              <w:pStyle w:val="997"/>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考察地点: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tc>
      </w:tr>
      <w:tr>
        <w:trPr>
          <w:jc w:val="center"/>
        </w:trPr>
        <w:tc>
          <w:tcPr>
            <w:tcW w:w="731" w:type="dxa"/>
            <w:vAlign w:val="center"/>
            <w:textDirection w:val="lrTb"/>
            <w:noWrap w:val="false"/>
          </w:tcPr>
          <w:p>
            <w:pPr>
              <w:pStyle w:val="997"/>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开标前答疑会</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■不召开</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□召开，召开时间: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月</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日</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分</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召开地点: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tc>
      </w:tr>
      <w:tr>
        <w:trPr>
          <w:jc w:val="center"/>
          <w:trHeight w:val="1145"/>
        </w:trPr>
        <w:tc>
          <w:tcPr>
            <w:tcW w:w="731" w:type="dxa"/>
            <w:vAlign w:val="center"/>
            <w:textDirection w:val="lrTb"/>
            <w:noWrap w:val="false"/>
          </w:tcPr>
          <w:p>
            <w:pPr>
              <w:pStyle w:val="997"/>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样品</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投标样品递交:</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■不需要</w:t>
            </w:r>
            <w:r/>
          </w:p>
          <w:p>
            <w:p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□需要，具体要求如下:</w:t>
            </w:r>
            <w:r>
              <w:rPr>
                <w:rFonts w:hint="eastAsia" w:ascii="宋体" w:hAnsi="宋体" w:eastAsia="宋体" w:cs="宋体"/>
                <w:color w:val="auto"/>
                <w:sz w:val="24"/>
                <w:szCs w:val="24"/>
                <w:highlight w:val="none"/>
                <w:u w:val="single"/>
              </w:rPr>
              <w:t xml:space="preserve">  /   </w:t>
            </w:r>
            <w:r/>
          </w:p>
        </w:tc>
      </w:tr>
      <w:tr>
        <w:trPr>
          <w:jc w:val="center"/>
        </w:trPr>
        <w:tc>
          <w:tcPr>
            <w:tcW w:w="731" w:type="dxa"/>
            <w:vAlign w:val="center"/>
            <w:textDirection w:val="lrTb"/>
            <w:noWrap w:val="false"/>
          </w:tcPr>
          <w:p>
            <w:pPr>
              <w:pStyle w:val="997"/>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是否专门面向中小企业</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■本项目专门面向中小企业采购，在评审时不再对小微企业执行价格评审优惠政策。</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□本项目非专门面向中小企业采购，对于符合规定的小微企业报价给予</w:t>
            </w:r>
            <w:r>
              <w:rPr>
                <w:rFonts w:hint="eastAsia" w:ascii="宋体" w:hAnsi="宋体" w:eastAsia="宋体" w:cs="宋体"/>
                <w:color w:val="auto"/>
                <w:sz w:val="24"/>
                <w:szCs w:val="24"/>
                <w:highlight w:val="none"/>
                <w:u w:val="single"/>
              </w:rPr>
              <w:t xml:space="preserve">20%的扣除</w:t>
            </w:r>
            <w:r>
              <w:rPr>
                <w:rFonts w:hint="eastAsia" w:ascii="宋体" w:hAnsi="宋体" w:eastAsia="宋体" w:cs="宋体"/>
                <w:color w:val="auto"/>
                <w:sz w:val="24"/>
                <w:szCs w:val="24"/>
                <w:highlight w:val="none"/>
              </w:rPr>
              <w:t xml:space="preserve">，用扣除后的价格参与评审。</w:t>
            </w:r>
            <w:r/>
          </w:p>
        </w:tc>
      </w:tr>
      <w:tr>
        <w:trPr>
          <w:jc w:val="center"/>
        </w:trPr>
        <w:tc>
          <w:tcPr>
            <w:tcW w:w="731" w:type="dxa"/>
            <w:vAlign w:val="center"/>
            <w:textDirection w:val="lrTb"/>
            <w:noWrap w:val="false"/>
          </w:tcPr>
          <w:p>
            <w:pPr>
              <w:pStyle w:val="997"/>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标的所属行业</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本项目属于</w:t>
            </w:r>
            <w:r>
              <w:rPr>
                <w:rFonts w:hint="eastAsia" w:ascii="宋体" w:hAnsi="宋体" w:eastAsia="宋体" w:cs="宋体"/>
                <w:color w:val="auto"/>
                <w:sz w:val="24"/>
                <w:szCs w:val="24"/>
                <w:highlight w:val="none"/>
                <w:u w:val="single"/>
              </w:rPr>
              <w:t xml:space="preserve"> 服务 </w:t>
            </w:r>
            <w:r>
              <w:rPr>
                <w:rFonts w:hint="eastAsia" w:ascii="宋体" w:hAnsi="宋体" w:eastAsia="宋体" w:cs="宋体"/>
                <w:color w:val="auto"/>
                <w:sz w:val="24"/>
                <w:szCs w:val="24"/>
                <w:highlight w:val="none"/>
              </w:rPr>
              <w:t xml:space="preserve">，采购标的对应的中小企业划分标准所属行业:</w:t>
            </w:r>
            <w:r>
              <w:rPr>
                <w:rFonts w:hint="eastAsia" w:ascii="宋体" w:hAnsi="宋体" w:eastAsia="宋体" w:cs="宋体"/>
                <w:color w:val="auto"/>
                <w:sz w:val="24"/>
                <w:szCs w:val="24"/>
                <w:highlight w:val="none"/>
                <w:u w:val="single"/>
                <w:lang w:eastAsia="zh-CN"/>
              </w:rPr>
              <w:t xml:space="preserve">软件和信息技术服务业</w:t>
            </w:r>
            <w:r>
              <w:rPr>
                <w:rFonts w:hint="eastAsia" w:ascii="宋体" w:hAnsi="宋体" w:eastAsia="宋体" w:cs="宋体"/>
                <w:color w:val="auto"/>
                <w:sz w:val="24"/>
                <w:szCs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Pr>
        <w:tc>
          <w:tcPr>
            <w:tcW w:w="731" w:type="dxa"/>
            <w:vAlign w:val="center"/>
            <w:textDirection w:val="lrTb"/>
            <w:noWrap w:val="false"/>
          </w:tcPr>
          <w:p>
            <w:pPr>
              <w:pStyle w:val="997"/>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报价的特殊规定:__________。</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□有，具体情形:__________。</w:t>
            </w:r>
            <w:r/>
          </w:p>
        </w:tc>
      </w:tr>
      <w:tr>
        <w:trPr>
          <w:jc w:val="center"/>
        </w:trPr>
        <w:tc>
          <w:tcPr>
            <w:tcW w:w="731" w:type="dxa"/>
            <w:vAlign w:val="center"/>
            <w:vMerge w:val="restart"/>
            <w:textDirection w:val="lrTb"/>
            <w:noWrap w:val="false"/>
          </w:tcPr>
          <w:p>
            <w:pPr>
              <w:pStyle w:val="997"/>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投标保证金</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免收</w:t>
            </w:r>
            <w:r/>
          </w:p>
        </w:tc>
      </w:tr>
      <w:tr>
        <w:trPr>
          <w:jc w:val="center"/>
        </w:trPr>
        <w:tc>
          <w:tcPr>
            <w:tcW w:w="731" w:type="dxa"/>
            <w:vAlign w:val="center"/>
            <w:vMerge w:val="continue"/>
            <w:textDirection w:val="lrTb"/>
            <w:noWrap w:val="false"/>
          </w:tcPr>
          <w:p>
            <w:pPr>
              <w:pStyle w:val="997"/>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■需要提供:为保障合同的有效履行，首次签订合同前，</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单位应先缴纳每年合同</w:t>
            </w:r>
            <w:r>
              <w:rPr>
                <w:rFonts w:hint="eastAsia" w:ascii="宋体" w:hAnsi="宋体" w:eastAsia="宋体" w:cs="宋体"/>
                <w:color w:val="auto"/>
                <w:sz w:val="24"/>
                <w:szCs w:val="24"/>
                <w:highlight w:val="none"/>
                <w:lang w:val="en-US" w:eastAsia="zh-CN"/>
              </w:rPr>
              <w:t xml:space="preserve">金</w:t>
            </w:r>
            <w:r>
              <w:rPr>
                <w:rFonts w:hint="eastAsia" w:ascii="宋体" w:hAnsi="宋体" w:eastAsia="宋体" w:cs="宋体"/>
                <w:color w:val="auto"/>
                <w:sz w:val="24"/>
                <w:szCs w:val="24"/>
                <w:highlight w:val="none"/>
              </w:rPr>
              <w:t xml:space="preserve">额的5%的履约保证金，由采购人自行收取，承诺的质保期（服务期）满后15个工作日内退还履约保证金（无息）。 </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□不需要提供</w:t>
            </w:r>
            <w:r/>
          </w:p>
        </w:tc>
      </w:tr>
      <w:tr>
        <w:trPr>
          <w:jc w:val="center"/>
        </w:trPr>
        <w:tc>
          <w:tcPr>
            <w:tcW w:w="731" w:type="dxa"/>
            <w:vAlign w:val="center"/>
            <w:textDirection w:val="lrTb"/>
            <w:noWrap w:val="false"/>
          </w:tcPr>
          <w:p>
            <w:pPr>
              <w:pStyle w:val="997"/>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自提交投标文件的截止之日起算60日历天。</w:t>
            </w:r>
            <w:r/>
          </w:p>
        </w:tc>
      </w:tr>
      <w:tr>
        <w:trPr>
          <w:jc w:val="center"/>
        </w:trPr>
        <w:tc>
          <w:tcPr>
            <w:tcW w:w="731" w:type="dxa"/>
            <w:vAlign w:val="center"/>
            <w:textDirection w:val="lrTb"/>
            <w:noWrap w:val="false"/>
          </w:tcPr>
          <w:p>
            <w:pPr>
              <w:pStyle w:val="997"/>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本项目的非主体、非关键性工作是否允许分包:不允许</w:t>
            </w:r>
            <w:r/>
          </w:p>
        </w:tc>
      </w:tr>
      <w:tr>
        <w:trPr>
          <w:jc w:val="center"/>
        </w:trPr>
        <w:tc>
          <w:tcPr>
            <w:tcW w:w="731" w:type="dxa"/>
            <w:vAlign w:val="center"/>
            <w:textDirection w:val="lrTb"/>
            <w:noWrap w:val="false"/>
          </w:tcPr>
          <w:p>
            <w:pPr>
              <w:pStyle w:val="997"/>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询问</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已登记参加本项目的投标人对招标文件如有疑问，可于</w:t>
            </w:r>
            <w:r>
              <w:rPr>
                <w:rFonts w:hint="eastAsia" w:ascii="宋体" w:hAnsi="宋体" w:eastAsia="宋体" w:cs="宋体"/>
                <w:color w:val="auto"/>
                <w:sz w:val="24"/>
                <w:szCs w:val="24"/>
                <w:highlight w:val="none"/>
                <w:u w:val="single"/>
              </w:rPr>
              <w:t xml:space="preserve">2025年</w:t>
            </w:r>
            <w:r>
              <w:rPr>
                <w:rFonts w:hint="eastAsia" w:ascii="宋体" w:hAnsi="宋体" w:eastAsia="宋体" w:cs="宋体"/>
                <w:color w:val="auto"/>
                <w:sz w:val="24"/>
                <w:szCs w:val="24"/>
                <w:highlight w:val="none"/>
                <w:u w:val="single"/>
                <w:lang w:val="en-US" w:eastAsia="zh-CN"/>
              </w:rPr>
              <w:t xml:space="preserve">12</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日11:00时前</w:t>
            </w:r>
            <w:r>
              <w:rPr>
                <w:rFonts w:hint="eastAsia" w:ascii="宋体" w:hAnsi="宋体" w:eastAsia="宋体" w:cs="宋体"/>
                <w:color w:val="auto"/>
                <w:sz w:val="24"/>
                <w:szCs w:val="24"/>
                <w:highlight w:val="none"/>
              </w:rPr>
              <w:t xml:space="preserve">将相关疑问(格式详见招标文件中“关于招标文件的询问内容”)发送至邮箱(changzhouzhongjin@126.com)进行咨询，如口头可解释的问题亦可电话咨询。未提出疑问将被视为完全认同招标文件，逾期将不接受其对于招标文件的相关异议。如有变更，更正公告将会在常州市政府采购网公布。</w:t>
            </w:r>
            <w:r/>
          </w:p>
        </w:tc>
      </w:tr>
      <w:tr>
        <w:trPr>
          <w:jc w:val="center"/>
        </w:trPr>
        <w:tc>
          <w:tcPr>
            <w:tcW w:w="731" w:type="dxa"/>
            <w:vAlign w:val="center"/>
            <w:textDirection w:val="lrTb"/>
            <w:noWrap w:val="false"/>
          </w:tcPr>
          <w:p>
            <w:pPr>
              <w:pStyle w:val="997"/>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接收询问和质疑的联系方式</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联系部门:常州中金招投标有限公司；</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联系电话:0519-85958666；</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通讯地址:江苏省常州市天宁区锦绣路锦绣东苑29幢4楼401号(常州市政务服务中心对面)。</w:t>
            </w:r>
            <w:r/>
          </w:p>
        </w:tc>
      </w:tr>
      <w:tr>
        <w:trPr>
          <w:jc w:val="center"/>
        </w:trPr>
        <w:tc>
          <w:tcPr>
            <w:tcW w:w="731" w:type="dxa"/>
            <w:vAlign w:val="center"/>
            <w:textDirection w:val="lrTb"/>
            <w:noWrap w:val="false"/>
          </w:tcPr>
          <w:p>
            <w:pPr>
              <w:pStyle w:val="997"/>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纸质投标文件</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单位在签订合同前需递交与电子投标文件内容一致的纸质投标文件两份(需打印清晰，标注目录及页码)，作为项目归档使用。(递交方式可采用邮寄或现场送达，常州中金招投标有限公司和采购人各一份，联系方式见《第一章 采购邀请》)。</w:t>
            </w:r>
            <w:r/>
          </w:p>
        </w:tc>
      </w:tr>
      <w:tr>
        <w:trPr>
          <w:jc w:val="center"/>
          <w:trHeight w:val="596"/>
        </w:trPr>
        <w:tc>
          <w:tcPr>
            <w:tcW w:w="731" w:type="dxa"/>
            <w:vAlign w:val="center"/>
            <w:textDirection w:val="lrTb"/>
            <w:noWrap w:val="false"/>
          </w:tcPr>
          <w:p>
            <w:pPr>
              <w:pStyle w:val="997"/>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代理费</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收费对象:</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■中标单位</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收费标准:</w:t>
            </w:r>
            <w:r>
              <w:rPr>
                <w:rFonts w:hint="eastAsia" w:ascii="宋体" w:hAnsi="宋体" w:eastAsia="宋体" w:cs="宋体"/>
                <w:bCs/>
                <w:color w:val="auto"/>
                <w:sz w:val="24"/>
                <w:szCs w:val="24"/>
                <w:highlight w:val="none"/>
              </w:rPr>
              <w:t xml:space="preserve">代理服务费按标准收费费率*55%进行计算；</w:t>
            </w:r>
            <w:r/>
          </w:p>
          <w:p>
            <w:pPr>
              <w:keepLines w:val="0"/>
              <w:keepNext w:val="0"/>
              <w:pageBreakBefore w:val="0"/>
              <w:spacing w:line="400" w:lineRule="exact"/>
              <w:widowControl w:val="off"/>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缴纳时间、计算及缴纳方法:详见本章第二节“投标费用”。</w:t>
            </w:r>
            <w:r/>
          </w:p>
        </w:tc>
      </w:tr>
    </w:tbl>
    <w:p>
      <w:pPr>
        <w:jc w:val="both"/>
        <w:spacing w:line="360" w:lineRule="auto"/>
        <w:tabs>
          <w:tab w:val="left" w:pos="5580" w:leader="none"/>
        </w:tabs>
        <w:rPr>
          <w:rFonts w:hint="eastAsia" w:ascii="宋体" w:hAnsi="宋体" w:eastAsia="宋体" w:cs="宋体"/>
          <w:color w:val="auto"/>
          <w:sz w:val="24"/>
          <w:highlight w:val="none"/>
        </w:rPr>
        <w:sectPr>
          <w:headerReference w:type="default" r:id="rId9"/>
          <w:headerReference w:type="first" r:id="rId10"/>
          <w:footerReference w:type="default" r:id="rId13"/>
          <w:footerReference w:type="first" r:id="rId14"/>
          <w:footnotePr/>
          <w:endnotePr/>
          <w:type w:val="nextPage"/>
          <w:pgSz w:w="11907" w:h="16840" w:orient="portrait"/>
          <w:pgMar w:top="1440" w:right="1080" w:bottom="1440" w:left="1080" w:header="851" w:footer="851" w:gutter="0"/>
          <w:pgNumType w:start="1"/>
          <w:cols w:num="1" w:sep="0" w:space="720" w:equalWidth="1"/>
          <w:docGrid w:linePitch="360"/>
          <w:titlePg/>
        </w:sectPr>
      </w:pPr>
      <w:r>
        <w:rPr>
          <w:rFonts w:hint="eastAsia" w:ascii="宋体" w:hAnsi="宋体" w:eastAsia="宋体" w:cs="宋体"/>
          <w:color w:val="auto"/>
          <w:sz w:val="24"/>
          <w:highlight w:val="none"/>
        </w:rPr>
      </w:r>
      <w:r/>
    </w:p>
    <w:p>
      <w:pPr>
        <w:pStyle w:val="971"/>
        <w:spacing w:before="0" w:line="360" w:lineRule="auto"/>
        <w:tabs>
          <w:tab w:val="center" w:pos="4592" w:leader="none"/>
          <w:tab w:val="left" w:pos="7860" w:leader="none"/>
        </w:tabs>
        <w:rPr>
          <w:rFonts w:hint="eastAsia" w:ascii="宋体" w:hAnsi="宋体" w:eastAsia="宋体" w:cs="宋体"/>
          <w:color w:val="auto"/>
          <w:sz w:val="32"/>
          <w:szCs w:val="32"/>
          <w:highlight w:val="none"/>
        </w:rPr>
      </w:pPr>
      <w:r/>
      <w:bookmarkStart w:id="61" w:name="_Toc150509269"/>
      <w:r/>
      <w:bookmarkStart w:id="62" w:name="_Toc150480756"/>
      <w:r/>
      <w:bookmarkStart w:id="63" w:name="_Toc305158860"/>
      <w:r/>
      <w:bookmarkStart w:id="64" w:name="_Toc226965708"/>
      <w:r/>
      <w:bookmarkStart w:id="65" w:name="_Toc151193616"/>
      <w:r/>
      <w:bookmarkStart w:id="66" w:name="_Toc195842883"/>
      <w:r/>
      <w:bookmarkStart w:id="67" w:name="_Toc305158786"/>
      <w:r/>
      <w:bookmarkStart w:id="68" w:name="_Toc226965791"/>
      <w:r/>
      <w:bookmarkStart w:id="69" w:name="_Toc151193760"/>
      <w:r/>
      <w:bookmarkStart w:id="70" w:name="_Toc265228356"/>
      <w:r/>
      <w:bookmarkStart w:id="71" w:name="_Toc150774723"/>
      <w:r/>
      <w:bookmarkStart w:id="72" w:name="_Toc150774618"/>
      <w:r/>
      <w:bookmarkStart w:id="73" w:name="_Toc142311020"/>
      <w:r/>
      <w:bookmarkStart w:id="74" w:name="_Toc151193906"/>
      <w:r/>
      <w:bookmarkStart w:id="75" w:name="_Toc151190145"/>
      <w:r/>
      <w:bookmarkStart w:id="76" w:name="_Toc151193832"/>
      <w:r/>
      <w:bookmarkStart w:id="77" w:name="_Toc264969208"/>
      <w:r/>
      <w:bookmarkStart w:id="78" w:name="_Toc151193688"/>
      <w:r/>
      <w:bookmarkStart w:id="79" w:name="_Toc226309762"/>
      <w:r/>
      <w:bookmarkStart w:id="80" w:name="_Toc226337214"/>
      <w:r>
        <w:rPr>
          <w:rFonts w:hint="eastAsia" w:ascii="宋体" w:hAnsi="宋体" w:eastAsia="宋体" w:cs="宋体"/>
          <w:color w:val="auto"/>
          <w:sz w:val="32"/>
          <w:szCs w:val="32"/>
          <w:highlight w:val="none"/>
        </w:rPr>
        <w:t xml:space="preserve">第二节 说  明</w:t>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r/>
    </w:p>
    <w:p>
      <w:pPr>
        <w:jc w:val="center"/>
        <w:keepLines/>
        <w:keepNext/>
        <w:spacing w:line="360" w:lineRule="auto"/>
        <w:rPr>
          <w:rFonts w:hint="eastAsia" w:ascii="宋体" w:hAnsi="宋体" w:eastAsia="宋体" w:cs="宋体"/>
          <w:b/>
          <w:bCs/>
          <w:color w:val="auto"/>
          <w:sz w:val="30"/>
          <w:szCs w:val="30"/>
          <w:highlight w:val="none"/>
        </w:rPr>
        <w:outlineLvl w:val="2"/>
      </w:pPr>
      <w:r/>
      <w:bookmarkStart w:id="81" w:name="_Toc120614214"/>
      <w:r/>
      <w:bookmarkStart w:id="82" w:name="_Toc16938519"/>
      <w:r/>
      <w:bookmarkStart w:id="83" w:name="_Toc20823275"/>
      <w:r/>
      <w:bookmarkStart w:id="84" w:name="_Toc513029203"/>
      <w:r>
        <w:rPr>
          <w:rFonts w:hint="eastAsia" w:ascii="宋体" w:hAnsi="宋体" w:eastAsia="宋体" w:cs="宋体"/>
          <w:b/>
          <w:bCs/>
          <w:color w:val="auto"/>
          <w:sz w:val="30"/>
          <w:szCs w:val="30"/>
          <w:highlight w:val="none"/>
        </w:rPr>
        <w:t xml:space="preserve">一、总则</w:t>
      </w:r>
      <w:bookmarkEnd w:id="81"/>
      <w:r/>
      <w:bookmarkEnd w:id="82"/>
      <w:r/>
      <w:bookmarkEnd w:id="83"/>
      <w:r/>
      <w:bookmarkEnd w:id="84"/>
      <w:r/>
      <w:r/>
    </w:p>
    <w:p>
      <w:pPr>
        <w:keepLines/>
        <w:keepNext/>
        <w:spacing w:line="360" w:lineRule="auto"/>
        <w:rPr>
          <w:rFonts w:hint="eastAsia" w:ascii="宋体" w:hAnsi="宋体" w:eastAsia="宋体" w:cs="宋体"/>
          <w:b/>
          <w:bCs/>
          <w:color w:val="auto"/>
          <w:sz w:val="28"/>
          <w:szCs w:val="28"/>
          <w:highlight w:val="none"/>
        </w:rPr>
        <w:outlineLvl w:val="3"/>
      </w:pPr>
      <w:r/>
      <w:bookmarkStart w:id="85" w:name="_Hlt16619475"/>
      <w:r/>
      <w:bookmarkEnd w:id="85"/>
      <w:r/>
      <w:bookmarkStart w:id="86" w:name="_Toc458694821"/>
      <w:r/>
      <w:bookmarkStart w:id="87" w:name="_Toc20823276"/>
      <w:r/>
      <w:bookmarkStart w:id="88" w:name="_Toc16938520"/>
      <w:r/>
      <w:bookmarkStart w:id="89" w:name="_Toc513029204"/>
      <w:r>
        <w:rPr>
          <w:rFonts w:hint="eastAsia" w:ascii="宋体" w:hAnsi="宋体" w:eastAsia="宋体" w:cs="宋体"/>
          <w:b/>
          <w:bCs/>
          <w:color w:val="auto"/>
          <w:sz w:val="28"/>
          <w:szCs w:val="28"/>
          <w:highlight w:val="none"/>
        </w:rPr>
        <w:t xml:space="preserve">1</w:t>
      </w:r>
      <w:bookmarkEnd w:id="86"/>
      <w:r>
        <w:rPr>
          <w:rFonts w:hint="eastAsia" w:ascii="宋体" w:hAnsi="宋体" w:eastAsia="宋体" w:cs="宋体"/>
          <w:b/>
          <w:bCs/>
          <w:color w:val="auto"/>
          <w:sz w:val="28"/>
          <w:szCs w:val="28"/>
          <w:highlight w:val="none"/>
        </w:rPr>
        <w:t xml:space="preserve">、采购方式</w:t>
      </w:r>
      <w:bookmarkEnd w:id="87"/>
      <w:r/>
      <w:bookmarkEnd w:id="88"/>
      <w:r/>
      <w:bookmarkEnd w:id="89"/>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 本次招标采取公开招标方式，本招标文件仅适用于招标公告中所述项目。</w:t>
      </w:r>
      <w:r/>
    </w:p>
    <w:p>
      <w:pPr>
        <w:keepLines/>
        <w:keepNext/>
        <w:spacing w:line="360" w:lineRule="auto"/>
        <w:rPr>
          <w:rFonts w:hint="eastAsia" w:ascii="宋体" w:hAnsi="宋体" w:eastAsia="宋体" w:cs="宋体"/>
          <w:b/>
          <w:bCs/>
          <w:color w:val="auto"/>
          <w:sz w:val="28"/>
          <w:szCs w:val="28"/>
          <w:highlight w:val="none"/>
        </w:rPr>
        <w:outlineLvl w:val="3"/>
      </w:pPr>
      <w:r/>
      <w:bookmarkStart w:id="90" w:name="_Toc20823277"/>
      <w:r/>
      <w:bookmarkStart w:id="91" w:name="_Toc16938521"/>
      <w:r/>
      <w:bookmarkStart w:id="92" w:name="_Toc513029205"/>
      <w:r>
        <w:rPr>
          <w:rFonts w:hint="eastAsia" w:ascii="宋体" w:hAnsi="宋体" w:eastAsia="宋体" w:cs="宋体"/>
          <w:b/>
          <w:bCs/>
          <w:color w:val="auto"/>
          <w:sz w:val="28"/>
          <w:szCs w:val="28"/>
          <w:highlight w:val="none"/>
        </w:rPr>
        <w:t xml:space="preserve">2、</w:t>
      </w:r>
      <w:bookmarkEnd w:id="90"/>
      <w:r/>
      <w:bookmarkEnd w:id="91"/>
      <w:r/>
      <w:bookmarkEnd w:id="92"/>
      <w:r>
        <w:rPr>
          <w:rFonts w:hint="eastAsia" w:ascii="宋体" w:hAnsi="宋体" w:eastAsia="宋体" w:cs="宋体"/>
          <w:b/>
          <w:bCs/>
          <w:color w:val="auto"/>
          <w:sz w:val="28"/>
          <w:szCs w:val="28"/>
          <w:highlight w:val="none"/>
        </w:rPr>
        <w:t xml:space="preserve">合格的投标人</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2.1满足招标公告中投标人资格要求的规定。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满足本招标文件实质性要求和条件的规定。</w:t>
      </w:r>
      <w:r/>
    </w:p>
    <w:p>
      <w:pPr>
        <w:keepLines/>
        <w:keepNext/>
        <w:spacing w:line="360" w:lineRule="auto"/>
        <w:rPr>
          <w:rFonts w:hint="eastAsia" w:ascii="宋体" w:hAnsi="宋体" w:eastAsia="宋体" w:cs="宋体"/>
          <w:b/>
          <w:bCs/>
          <w:color w:val="auto"/>
          <w:sz w:val="28"/>
          <w:szCs w:val="28"/>
          <w:highlight w:val="none"/>
        </w:rPr>
        <w:outlineLvl w:val="3"/>
      </w:pPr>
      <w:r/>
      <w:bookmarkStart w:id="93" w:name="_Toc16938522"/>
      <w:r/>
      <w:bookmarkStart w:id="94" w:name="_Toc20823278"/>
      <w:r/>
      <w:bookmarkStart w:id="95" w:name="_Toc513029206"/>
      <w:r>
        <w:rPr>
          <w:rFonts w:hint="eastAsia" w:ascii="宋体" w:hAnsi="宋体" w:eastAsia="宋体" w:cs="宋体"/>
          <w:b/>
          <w:bCs/>
          <w:color w:val="auto"/>
          <w:sz w:val="28"/>
          <w:szCs w:val="28"/>
          <w:highlight w:val="none"/>
        </w:rPr>
        <w:t xml:space="preserve">3、适用法律</w:t>
      </w:r>
      <w:bookmarkEnd w:id="93"/>
      <w:r/>
      <w:bookmarkEnd w:id="94"/>
      <w:r/>
      <w:bookmarkEnd w:id="95"/>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3.1 本次招标及由此产生的合同受中华人民共和国有关的法律法规制约和保护。</w:t>
      </w:r>
      <w:r/>
    </w:p>
    <w:p>
      <w:pPr>
        <w:keepLines/>
        <w:keepNext/>
        <w:spacing w:line="360" w:lineRule="auto"/>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28"/>
          <w:szCs w:val="28"/>
          <w:highlight w:val="none"/>
        </w:rPr>
        <w:t xml:space="preserve">4、政府采购政策(包括但不限于下列具体政策要求)</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4.1进口产品</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4.2中小企业、监狱企业及残疾人福利性单位</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4.2.1中小企业定义:</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4.2.1.1中小企业是</w:t>
      </w:r>
      <w:r>
        <w:rPr>
          <w:rFonts w:hint="eastAsia" w:ascii="宋体" w:hAnsi="宋体" w:eastAsia="宋体" w:cs="宋体"/>
          <w:color w:val="auto"/>
          <w:sz w:val="24"/>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4.2.1.2供应商提供的货物、工程或者服务符合下列情形的，享受中小企业扶持政策:</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(1)在货物采购项目中，货物由中小企业制造，即货物由中小企业生产且使用该中小企业商号或者注册商标；</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(2)在工程采购项目中，工程由中小企业承建，即工程施工单位为中小企业；</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(3)在服务采购项目中，服务由中小企业承接，即提供服务的人员为中小企业依照《中华人民共和国劳动合同法》订立劳动合同的从业人员。</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4.2.1.3在货物采购项目中，供应商提供的货物既有中小企业制造货物，也有大型企业制造货物的，不享受中小企业扶持政策。</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4.2.1.4以联合体形式参加政府采购活动，联合体各方均为中小企业的，联合体视同中小企业。其中，联合体各方均为小微企业的，联合体视同小微企业。</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4.2.3残疾人福利单位定义:享受政府采购支持政策的残疾人福利性单位应当同时满足以下条件:</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4.2.3.1安置的残疾人占本单位在职职工人数的比例不低于25%(含25%)，并且安置的残疾人人数不少于10 人(含10 人)；</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4.2.3.2依法与安置的每位残疾人签订了一年以上(含一年)的劳动合同或服务协议；</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4.2.3.3为安置的每位残疾人按月足额缴纳了基本养老保险、基本医疗保险、失业保险、工伤保险和生育保险等社会保险费；</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4.2.3.4通过银行等金融机构向安置的每位残疾人，按月支付了不低于单位所在区县适用的经省级人民政府批准的月最低工资标准的工资；</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4.2.3.5提供本单位制造的货物、承担的工程或者服务(以下简称产品)，或者提供其他残疾人福利性单位制造的货物(不包括使用非残疾人福利性单位注册商标的货物)；</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4.2.4本项目是否专门面向中小企业预留采购份额见第一章《投标邀请》。</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4.2.5采购标的对应的中小企业划分标准所属行业见《投标人须知资料表》。</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4.2.6小微企业价格评审优惠的政策调整:见第四章《评标程序、评标方法和评标标准》。</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4.3政府采购节能产品、环境标志产品</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4.3.3如本项目采购产品属于实施政府强制采购品目清单范围的节能产品，则投标人所报产品必须获得国家确定的认证机构出具的、处于有效期之内的节能产品认证证书，否则投标无效；</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4.3.4非政府强制采购的节能产品或环境标志产品，依据品目清单和认证证书实施政府优先采购。优先采购的具体规定见第四章《评标程序、评标方法和评标标准》(如涉及)。</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4.3.5依据《关于印发〈商品包装政府采购需求标准(试行)〉、〈快递包装政府采购需求标准(试行)〉的通知》(财办库〔2020〕123号)文件精神，采购人在招标文件中明确政府采购供应商提供产品及相关快递服务的具体包装要求的，在政府采购合同中载明对政府采购供应商提供产品及相关快递服务的具体包装要求和履约验收相关条款的，中标单位必须严格执行，必要时应按照要求在履约验收环节出具检测报告。</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4.4支持乡村产业振兴管理</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4.4.1为落实《关于运用政府采购政策支持乡村产业振兴的通知》(财库〔2021〕19号)有关要求，做好支持脱贫攻坚工作，本项目采购活动中对于支持乡村振兴管理的相关要求见第五章《采购需求》(如涉及)。</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4.5正版软件</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4.5.1依据《财政部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eastAsia="宋体" w:cs="宋体"/>
          <w:color w:val="auto"/>
          <w:sz w:val="24"/>
          <w:szCs w:val="21"/>
          <w:highlight w:val="none"/>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4.6信息安全产品</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具体详见国家互联网信息办公室、工业和信息化部、公安部、财政部和国家认证认可监督管理委员会关于调整网络安全专用产品安全管理有关事项的公告 (2023年第1号)。</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4.7政府采购创新产品政策</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4.7.1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4.8绿色采购政策</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4.8.1绿色数据中心政策</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依据《绿色数据中心政府采购需求标准(试行)》(财办库〔2023〕7 号)文件精神，采购</w:t>
      </w:r>
      <w:r>
        <w:rPr>
          <w:rFonts w:hint="eastAsia" w:ascii="宋体" w:hAnsi="宋体" w:eastAsia="宋体" w:cs="宋体"/>
          <w:color w:val="auto"/>
          <w:sz w:val="24"/>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4.8.2 推广应用绿色建材</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号),依据相关需求标准确定采购需求，在招标文件和采购合同中载明具体需求、履约验收条款和违约责任。</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4.8.3 优先使用低挥发性有机化合物产品</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color w:val="auto"/>
          <w:sz w:val="24"/>
          <w:szCs w:val="21"/>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含量限制标准的产品；属于推荐性标准的，应当在招标文件中载明低VOCs的优惠幅度、评标标准等，以体现优先采购。</w:t>
      </w:r>
      <w:bookmarkStart w:id="96" w:name="_Toc462564067"/>
      <w:r/>
      <w:bookmarkStart w:id="97" w:name="_Toc20823279"/>
      <w:r/>
      <w:bookmarkStart w:id="98" w:name="_Toc16938523"/>
      <w:r/>
      <w:bookmarkStart w:id="99" w:name="_Toc513029207"/>
      <w:r/>
      <w:r/>
    </w:p>
    <w:p>
      <w:pPr>
        <w:keepLines/>
        <w:keepNext/>
        <w:spacing w:line="360" w:lineRule="auto"/>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28"/>
          <w:szCs w:val="28"/>
          <w:highlight w:val="none"/>
        </w:rPr>
        <w:t xml:space="preserve">5、</w:t>
      </w:r>
      <w:bookmarkEnd w:id="96"/>
      <w:r/>
      <w:bookmarkEnd w:id="97"/>
      <w:r/>
      <w:bookmarkEnd w:id="98"/>
      <w:r/>
      <w:bookmarkEnd w:id="99"/>
      <w:r>
        <w:rPr>
          <w:rFonts w:hint="eastAsia" w:ascii="宋体" w:hAnsi="宋体" w:eastAsia="宋体" w:cs="宋体"/>
          <w:b/>
          <w:bCs/>
          <w:color w:val="auto"/>
          <w:sz w:val="28"/>
          <w:szCs w:val="28"/>
          <w:highlight w:val="none"/>
        </w:rPr>
        <w:t xml:space="preserve">投标费用</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5.1</w:t>
      </w:r>
      <w:r>
        <w:rPr>
          <w:rFonts w:hint="eastAsia" w:ascii="宋体" w:hAnsi="宋体" w:eastAsia="宋体" w:cs="宋体"/>
          <w:color w:val="auto"/>
          <w:sz w:val="24"/>
          <w:szCs w:val="21"/>
          <w:highlight w:val="none"/>
        </w:rPr>
        <w:t xml:space="preserve">投标人应自行承担所有与参加本次招标有关的费用，无论招标过程中的做法和结果如何，常州中金招投标有限公司(以下简称</w:t>
      </w:r>
      <w:r>
        <w:rPr>
          <w:rFonts w:hint="eastAsia" w:ascii="宋体" w:hAnsi="宋体" w:eastAsia="宋体" w:cs="宋体"/>
          <w:bCs/>
          <w:color w:val="auto"/>
          <w:sz w:val="24"/>
          <w:szCs w:val="21"/>
          <w:highlight w:val="none"/>
        </w:rPr>
        <w:t xml:space="preserve">采购代理机构</w:t>
      </w:r>
      <w:r>
        <w:rPr>
          <w:rFonts w:hint="eastAsia" w:ascii="宋体" w:hAnsi="宋体" w:eastAsia="宋体" w:cs="宋体"/>
          <w:color w:val="auto"/>
          <w:sz w:val="24"/>
          <w:szCs w:val="21"/>
          <w:highlight w:val="none"/>
        </w:rPr>
        <w:t xml:space="preserve">)在任何情况下均无义务和责任承担这些费用。</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5.2收费对象、收费标准及缴纳时间见《投标人须知资料表》代理费，由中标单位支付的，中标单位须一次性向采购代理机构缴纳代理费，报价应包含代理费用。</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5.3本项目代理费由中标单位支付，</w:t>
      </w:r>
      <w:r>
        <w:rPr>
          <w:rFonts w:hint="eastAsia" w:ascii="宋体" w:hAnsi="宋体" w:eastAsia="宋体" w:cs="宋体"/>
          <w:b/>
          <w:color w:val="auto"/>
          <w:sz w:val="24"/>
          <w:szCs w:val="21"/>
          <w:highlight w:val="none"/>
        </w:rPr>
        <w:t xml:space="preserve">代理服务费按标准收费费率*55%进行计算</w:t>
      </w:r>
      <w:r>
        <w:rPr>
          <w:rFonts w:hint="eastAsia" w:ascii="宋体" w:hAnsi="宋体" w:eastAsia="宋体" w:cs="宋体"/>
          <w:bCs/>
          <w:color w:val="auto"/>
          <w:sz w:val="24"/>
          <w:szCs w:val="21"/>
          <w:highlight w:val="none"/>
        </w:rPr>
        <w:t xml:space="preserve">。中标单位应在领取中标通知书前将服务费付至常州中金招投标有限公司指定账户(开户行:中国建设银行股份有限公司常州惠民支行  银行账号:32050162970100000386)。</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868680</wp:posOffset>
                </wp:positionH>
                <wp:positionV relativeFrom="paragraph">
                  <wp:posOffset>256540</wp:posOffset>
                </wp:positionV>
                <wp:extent cx="2280920" cy="1276350"/>
                <wp:effectExtent l="2540" t="4445" r="2540" b="14604"/>
                <wp:wrapNone/>
                <wp:docPr id="5" name="组合 12"/>
                <wp:cNvGraphicFramePr/>
                <a:graphic xmlns:a="http://schemas.openxmlformats.org/drawingml/2006/main">
                  <a:graphicData uri="http://schemas.microsoft.com/office/word/2010/wordprocessingGroup">
                    <wpg:wgp>
                      <wpg:cNvGrpSpPr/>
                      <wpg:grpSpPr bwMode="auto">
                        <a:xfrm>
                          <a:off x="0" y="0"/>
                          <a:ext cx="2280920" cy="1276350"/>
                          <a:chOff x="6838" y="217293"/>
                          <a:chExt cx="3592" cy="2010"/>
                        </a:xfrm>
                      </wpg:grpSpPr>
                      <wps:wsp>
                        <wps:cNvPr id="0" name=""/>
                        <wps:cNvSpPr/>
                        <wps:spPr bwMode="auto">
                          <a:xfrm flipH="1" flipV="1">
                            <a:off x="6838" y="217293"/>
                            <a:ext cx="3576" cy="200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1" name=""/>
                        <wps:cNvSpPr/>
                        <wps:spPr bwMode="auto">
                          <a:xfrm flipH="1" flipV="1">
                            <a:off x="6838" y="218337"/>
                            <a:ext cx="3592" cy="966"/>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g:wgp>
                  </a:graphicData>
                </a:graphic>
              </wp:anchor>
            </w:drawing>
          </mc:Choice>
          <mc:Fallback>
            <w:pict>
              <v:group id="group 4" o:spid="_x0000_s0000" style="position:absolute;z-index:251660288;o:allowoverlap:true;o:allowincell:true;mso-position-horizontal-relative:text;margin-left:68.4pt;mso-position-horizontal:absolute;mso-position-vertical-relative:text;margin-top:20.2pt;mso-position-vertical:absolute;width:179.6pt;height:100.5pt;mso-wrap-distance-left:9.0pt;mso-wrap-distance-top:0.0pt;mso-wrap-distance-right:9.0pt;mso-wrap-distance-bottom:0.0pt;" coordorigin="68,2172" coordsize="35,20">
                <v:line id="shape 5" o:spid="_x0000_s5" style="position:absolute;left:0;text-align:left;z-index:251660288;flip:xy;visibility:visible;" from="68.4pt,20.2pt" to="248.0pt,120.7pt" filled="f" strokecolor="#000000" strokeweight="0.75pt">
                  <v:stroke dashstyle="solid"/>
                </v:line>
                <v:line id="shape 6" o:spid="_x0000_s6" style="position:absolute;left:0;text-align:left;z-index:251660288;flip:xy;visibility:visible;" from="68.4pt,20.2pt" to="248.0pt,120.7pt" filled="f" strokecolor="#000000" strokeweight="0.75pt">
                  <v:stroke dashstyle="solid"/>
                </v:line>
              </v:group>
            </w:pict>
          </mc:Fallback>
        </mc:AlternateContent>
      </w:r>
      <w:r>
        <w:rPr>
          <w:rFonts w:hint="eastAsia" w:ascii="宋体" w:hAnsi="宋体" w:eastAsia="宋体" w:cs="宋体"/>
          <w:color w:val="auto"/>
          <w:sz w:val="24"/>
          <w:highlight w:val="none"/>
        </w:rPr>
        <w:t xml:space="preserve">采购代理服务收费标准</w:t>
      </w:r>
      <w:r/>
    </w:p>
    <w:tbl>
      <w:tblPr>
        <w:tblStyle w:val="980"/>
        <w:tblW w:w="6151" w:type="dxa"/>
        <w:tblInd w:w="14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16"/>
        <w:gridCol w:w="2535"/>
      </w:tblGrid>
      <w:tr>
        <w:trPr>
          <w:trHeight w:val="1679"/>
        </w:trPr>
        <w:tc>
          <w:tcPr>
            <w:tcW w:w="3616" w:type="dxa"/>
            <w:textDirection w:val="lrTb"/>
            <w:noWrap w:val="false"/>
          </w:tcPr>
          <w:p>
            <w:pPr>
              <w:ind w:firstLine="1080"/>
              <w:spacing w:line="312"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-6350</wp:posOffset>
                      </wp:positionV>
                      <wp:extent cx="635" cy="0"/>
                      <wp:effectExtent l="0" t="4445" r="0" b="5080"/>
                      <wp:wrapNone/>
                      <wp:docPr id="6"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visibility:visible;" from="-9.0pt,-0.5pt" to="-8.9pt,-0.5pt" filled="f" strokecolor="#000000" strokeweight="0.75pt">
                      <v:stroke dashstyle="solid"/>
                    </v:line>
                  </w:pict>
                </mc:Fallback>
              </mc:AlternateContent>
            </w:r>
            <w:r>
              <w:rPr>
                <w:rFonts w:hint="eastAsia" w:ascii="宋体" w:hAnsi="宋体" w:eastAsia="宋体" w:cs="宋体"/>
                <w:bCs/>
                <w:color w:val="auto"/>
                <w:sz w:val="24"/>
                <w:highlight w:val="none"/>
              </w:rPr>
              <w:t xml:space="preserve">服</w:t>
            </w:r>
            <w:r/>
          </w:p>
          <w:p>
            <w:pPr>
              <w:ind w:firstLine="240"/>
              <w:spacing w:line="312"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费　　　   务</w:t>
            </w:r>
            <w:r/>
          </w:p>
          <w:p>
            <w:pPr>
              <w:ind w:firstLine="1200"/>
              <w:spacing w:line="312"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类</w:t>
            </w:r>
            <w:r/>
          </w:p>
          <w:p>
            <w:pPr>
              <w:ind w:firstLine="1560"/>
              <w:spacing w:line="312"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率　      型</w:t>
            </w:r>
            <w:r/>
          </w:p>
          <w:p>
            <w:pPr>
              <w:spacing w:line="312"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中标金额（万元）</w:t>
            </w:r>
            <w:r/>
          </w:p>
        </w:tc>
        <w:tc>
          <w:tcPr>
            <w:tcW w:w="2535" w:type="dxa"/>
            <w:vAlign w:val="center"/>
            <w:textDirection w:val="lrTb"/>
            <w:noWrap w:val="false"/>
          </w:tcPr>
          <w:p>
            <w:pPr>
              <w:jc w:val="center"/>
              <w:spacing w:line="312"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服务采购</w:t>
            </w:r>
            <w:r/>
          </w:p>
        </w:tc>
      </w:tr>
      <w:tr>
        <w:trPr/>
        <w:tc>
          <w:tcPr>
            <w:tcW w:w="3616" w:type="dxa"/>
            <w:textDirection w:val="lrTb"/>
            <w:noWrap w:val="false"/>
          </w:tcPr>
          <w:p>
            <w:pPr>
              <w:jc w:val="center"/>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100以下</w:t>
            </w:r>
            <w:r/>
          </w:p>
        </w:tc>
        <w:tc>
          <w:tcPr>
            <w:tcW w:w="2535" w:type="dxa"/>
            <w:textDirection w:val="lrTb"/>
            <w:noWrap w:val="false"/>
          </w:tcPr>
          <w:p>
            <w:pPr>
              <w:jc w:val="center"/>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w:t>
            </w:r>
            <w:r/>
          </w:p>
        </w:tc>
      </w:tr>
      <w:tr>
        <w:trPr/>
        <w:tc>
          <w:tcPr>
            <w:tcW w:w="3616" w:type="dxa"/>
            <w:textDirection w:val="lrTb"/>
            <w:noWrap w:val="false"/>
          </w:tcPr>
          <w:p>
            <w:pPr>
              <w:jc w:val="center"/>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100-500</w:t>
            </w:r>
            <w:r/>
          </w:p>
        </w:tc>
        <w:tc>
          <w:tcPr>
            <w:tcW w:w="2535" w:type="dxa"/>
            <w:textDirection w:val="lrTb"/>
            <w:noWrap w:val="false"/>
          </w:tcPr>
          <w:p>
            <w:pPr>
              <w:jc w:val="center"/>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0.8%</w:t>
            </w:r>
            <w:r/>
          </w:p>
        </w:tc>
      </w:tr>
      <w:tr>
        <w:trPr/>
        <w:tc>
          <w:tcPr>
            <w:tcW w:w="3616" w:type="dxa"/>
            <w:textDirection w:val="lrTb"/>
            <w:noWrap w:val="false"/>
          </w:tcPr>
          <w:p>
            <w:pPr>
              <w:jc w:val="center"/>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500-1000</w:t>
            </w:r>
            <w:r/>
          </w:p>
        </w:tc>
        <w:tc>
          <w:tcPr>
            <w:tcW w:w="2535" w:type="dxa"/>
            <w:textDirection w:val="lrTb"/>
            <w:noWrap w:val="false"/>
          </w:tcPr>
          <w:p>
            <w:pPr>
              <w:jc w:val="center"/>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0.45%</w:t>
            </w:r>
            <w:r/>
          </w:p>
        </w:tc>
      </w:tr>
      <w:tr>
        <w:trPr/>
        <w:tc>
          <w:tcPr>
            <w:tcW w:w="3616" w:type="dxa"/>
            <w:textDirection w:val="lrTb"/>
            <w:noWrap w:val="false"/>
          </w:tcPr>
          <w:p>
            <w:pPr>
              <w:jc w:val="center"/>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1000-5000</w:t>
            </w:r>
            <w:r/>
          </w:p>
        </w:tc>
        <w:tc>
          <w:tcPr>
            <w:tcW w:w="2535" w:type="dxa"/>
            <w:textDirection w:val="lrTb"/>
            <w:noWrap w:val="false"/>
          </w:tcPr>
          <w:p>
            <w:pPr>
              <w:jc w:val="center"/>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0.25%</w:t>
            </w:r>
            <w:r/>
          </w:p>
        </w:tc>
      </w:tr>
      <w:tr>
        <w:trPr/>
        <w:tc>
          <w:tcPr>
            <w:tcW w:w="3616" w:type="dxa"/>
            <w:textDirection w:val="lrTb"/>
            <w:noWrap w:val="false"/>
          </w:tcPr>
          <w:p>
            <w:pPr>
              <w:jc w:val="center"/>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5000-10000</w:t>
            </w:r>
            <w:r/>
          </w:p>
        </w:tc>
        <w:tc>
          <w:tcPr>
            <w:tcW w:w="2535" w:type="dxa"/>
            <w:textDirection w:val="lrTb"/>
            <w:noWrap w:val="false"/>
          </w:tcPr>
          <w:p>
            <w:pPr>
              <w:jc w:val="center"/>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0.1%</w:t>
            </w:r>
            <w:r/>
          </w:p>
        </w:tc>
      </w:tr>
      <w:tr>
        <w:trPr/>
        <w:tc>
          <w:tcPr>
            <w:tcW w:w="3616" w:type="dxa"/>
            <w:textDirection w:val="lrTb"/>
            <w:noWrap w:val="false"/>
          </w:tcPr>
          <w:p>
            <w:pPr>
              <w:jc w:val="center"/>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2535" w:type="dxa"/>
            <w:textDirection w:val="lrTb"/>
            <w:noWrap w:val="false"/>
          </w:tcPr>
          <w:p>
            <w:pPr>
              <w:jc w:val="center"/>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r>
    </w:tbl>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采购代理服务收费按差额定率累进法计算。例如:某项目采购代理业务中标金额为200万元，计算采购代理服务收费额如下:</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100万元×1.5%=1.5万元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（200-100）万元×0.8%=0.8万元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合计收费=1.5+0.8=2.3（万元）</w:t>
      </w:r>
      <w:r/>
    </w:p>
    <w:p>
      <w:pPr>
        <w:ind w:firstLine="480"/>
        <w:keepLines/>
        <w:keepNext/>
        <w:spacing w:line="360" w:lineRule="auto"/>
        <w:rPr>
          <w:rFonts w:hint="eastAsia" w:ascii="宋体" w:hAnsi="宋体" w:eastAsia="宋体" w:cs="宋体"/>
          <w:color w:val="auto"/>
          <w:sz w:val="24"/>
          <w:highlight w:val="none"/>
        </w:rPr>
        <w:outlineLvl w:val="3"/>
      </w:pPr>
      <w:r>
        <w:rPr>
          <w:rFonts w:hint="eastAsia" w:ascii="宋体" w:hAnsi="宋体" w:eastAsia="宋体" w:cs="宋体"/>
          <w:color w:val="auto"/>
          <w:sz w:val="24"/>
          <w:highlight w:val="none"/>
        </w:rPr>
        <w:t xml:space="preserve">最终收费=2.3*0.55=1.265（万元）</w:t>
      </w:r>
      <w:r/>
    </w:p>
    <w:p>
      <w:pPr>
        <w:ind w:firstLine="480"/>
        <w:keepLines/>
        <w:keepNext/>
        <w:spacing w:line="360" w:lineRule="auto"/>
        <w:rPr>
          <w:rFonts w:hint="eastAsia" w:ascii="宋体" w:hAnsi="宋体" w:eastAsia="宋体" w:cs="宋体"/>
          <w:color w:val="auto"/>
          <w:sz w:val="24"/>
          <w:highlight w:val="none"/>
        </w:rPr>
        <w:outlineLvl w:val="3"/>
      </w:pPr>
      <w:r>
        <w:rPr>
          <w:rFonts w:hint="eastAsia" w:ascii="宋体" w:hAnsi="宋体" w:eastAsia="宋体" w:cs="宋体"/>
          <w:color w:val="auto"/>
          <w:sz w:val="24"/>
          <w:highlight w:val="none"/>
        </w:rPr>
        <w:t xml:space="preserve">代理服务收费按上述计算方法不足人民币</w:t>
      </w:r>
      <w:r>
        <w:rPr>
          <w:rFonts w:hint="eastAsia" w:ascii="宋体" w:hAnsi="宋体" w:eastAsia="宋体" w:cs="宋体"/>
          <w:color w:val="auto"/>
          <w:sz w:val="24"/>
          <w:highlight w:val="none"/>
          <w:lang w:val="en-US" w:eastAsia="zh-CN"/>
        </w:rPr>
        <w:t xml:space="preserve">1500</w:t>
      </w:r>
      <w:r>
        <w:rPr>
          <w:rFonts w:hint="eastAsia" w:ascii="宋体" w:hAnsi="宋体" w:eastAsia="宋体" w:cs="宋体"/>
          <w:color w:val="auto"/>
          <w:sz w:val="24"/>
          <w:highlight w:val="none"/>
        </w:rPr>
        <w:t xml:space="preserve">元的，按人民币</w:t>
      </w:r>
      <w:r>
        <w:rPr>
          <w:rFonts w:hint="eastAsia" w:ascii="宋体" w:hAnsi="宋体" w:eastAsia="宋体" w:cs="宋体"/>
          <w:color w:val="auto"/>
          <w:sz w:val="24"/>
          <w:highlight w:val="none"/>
          <w:lang w:val="en-US" w:eastAsia="zh-CN"/>
        </w:rPr>
        <w:t xml:space="preserve">1500</w:t>
      </w:r>
      <w:r>
        <w:rPr>
          <w:rFonts w:hint="eastAsia" w:ascii="宋体" w:hAnsi="宋体" w:eastAsia="宋体" w:cs="宋体"/>
          <w:color w:val="auto"/>
          <w:sz w:val="24"/>
          <w:highlight w:val="none"/>
        </w:rPr>
        <w:t xml:space="preserve">元收取。</w:t>
      </w:r>
      <w:r/>
    </w:p>
    <w:p>
      <w:pPr>
        <w:keepLines/>
        <w:keepNext/>
        <w:spacing w:line="360" w:lineRule="auto"/>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30"/>
          <w:szCs w:val="28"/>
          <w:highlight w:val="none"/>
        </w:rPr>
        <w:t xml:space="preserve">6、</w:t>
      </w:r>
      <w:r>
        <w:rPr>
          <w:rFonts w:hint="eastAsia" w:ascii="宋体" w:hAnsi="宋体" w:eastAsia="宋体" w:cs="宋体"/>
          <w:b/>
          <w:bCs/>
          <w:color w:val="auto"/>
          <w:sz w:val="28"/>
          <w:szCs w:val="28"/>
          <w:highlight w:val="none"/>
        </w:rPr>
        <w:t xml:space="preserve">招标文件的约束力</w:t>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6.1</w:t>
      </w:r>
      <w:r>
        <w:rPr>
          <w:rFonts w:hint="eastAsia" w:ascii="宋体" w:hAnsi="宋体" w:eastAsia="宋体" w:cs="宋体"/>
          <w:color w:val="auto"/>
          <w:sz w:val="24"/>
          <w:highlight w:val="none"/>
        </w:rPr>
        <w:t xml:space="preserve">供应商一旦参加本项目采购活动，即被认为接受了本招标文件的规定和约束。</w:t>
      </w:r>
      <w:r/>
    </w:p>
    <w:p>
      <w:pPr>
        <w:jc w:val="center"/>
        <w:keepLines/>
        <w:keepNext/>
        <w:spacing w:line="360" w:lineRule="auto"/>
        <w:rPr>
          <w:rFonts w:hint="eastAsia" w:ascii="宋体" w:hAnsi="宋体" w:eastAsia="宋体" w:cs="宋体"/>
          <w:b/>
          <w:bCs/>
          <w:color w:val="auto"/>
          <w:sz w:val="32"/>
          <w:szCs w:val="32"/>
          <w:highlight w:val="none"/>
        </w:rPr>
        <w:outlineLvl w:val="2"/>
      </w:pPr>
      <w:r/>
      <w:bookmarkStart w:id="100" w:name="_Toc513029209"/>
      <w:r/>
      <w:bookmarkStart w:id="101" w:name="_Toc16938525"/>
      <w:r/>
      <w:bookmarkStart w:id="102" w:name="_Toc120614215"/>
      <w:r/>
      <w:bookmarkStart w:id="103" w:name="_Toc20823281"/>
      <w:r/>
      <w:bookmarkStart w:id="104" w:name="_Toc226965827"/>
      <w:r/>
      <w:bookmarkStart w:id="105" w:name="_Toc265228392"/>
      <w:r/>
      <w:bookmarkStart w:id="106" w:name="_Toc150480792"/>
      <w:r/>
      <w:bookmarkStart w:id="107" w:name="_Toc353873664"/>
      <w:r/>
      <w:bookmarkStart w:id="108" w:name="_Toc127151554"/>
      <w:r/>
      <w:bookmarkStart w:id="109" w:name="_Toc353825544"/>
      <w:r/>
      <w:bookmarkStart w:id="110" w:name="_Toc353873934"/>
      <w:r/>
      <w:bookmarkStart w:id="111" w:name="_Toc150774759"/>
      <w:r/>
      <w:bookmarkStart w:id="112" w:name="_Toc142311056"/>
      <w:r/>
      <w:bookmarkStart w:id="113" w:name="_Toc226337250"/>
      <w:r/>
      <w:bookmarkStart w:id="114" w:name="_Toc264969244"/>
      <w:r/>
      <w:bookmarkStart w:id="115" w:name="_Toc305158896"/>
      <w:r/>
      <w:bookmarkStart w:id="116" w:name="_Toc305158822"/>
      <w:r>
        <w:rPr>
          <w:rFonts w:hint="eastAsia" w:ascii="宋体" w:hAnsi="宋体" w:eastAsia="宋体" w:cs="宋体"/>
          <w:b/>
          <w:bCs/>
          <w:color w:val="auto"/>
          <w:sz w:val="30"/>
          <w:szCs w:val="30"/>
          <w:highlight w:val="none"/>
        </w:rPr>
        <w:t xml:space="preserve">二、</w:t>
      </w:r>
      <w:bookmarkEnd w:id="100"/>
      <w:r/>
      <w:bookmarkEnd w:id="101"/>
      <w:r/>
      <w:bookmarkEnd w:id="102"/>
      <w:r/>
      <w:bookmarkEnd w:id="103"/>
      <w:r>
        <w:rPr>
          <w:rFonts w:hint="eastAsia" w:ascii="宋体" w:hAnsi="宋体" w:eastAsia="宋体" w:cs="宋体"/>
          <w:b/>
          <w:bCs/>
          <w:color w:val="auto"/>
          <w:sz w:val="30"/>
          <w:szCs w:val="30"/>
          <w:highlight w:val="none"/>
        </w:rPr>
        <w:t xml:space="preserve">招标文件</w:t>
      </w:r>
      <w:r/>
    </w:p>
    <w:p>
      <w:pPr>
        <w:keepLines/>
        <w:keepNext/>
        <w:spacing w:line="360" w:lineRule="auto"/>
        <w:rPr>
          <w:rFonts w:hint="eastAsia" w:ascii="宋体" w:hAnsi="宋体" w:eastAsia="宋体" w:cs="宋体"/>
          <w:b/>
          <w:bCs/>
          <w:color w:val="auto"/>
          <w:sz w:val="28"/>
          <w:szCs w:val="28"/>
          <w:highlight w:val="none"/>
        </w:rPr>
        <w:outlineLvl w:val="3"/>
      </w:pPr>
      <w:r/>
      <w:bookmarkStart w:id="117" w:name="_Toc513029210"/>
      <w:r/>
      <w:bookmarkStart w:id="118" w:name="_Toc20823282"/>
      <w:r/>
      <w:bookmarkStart w:id="119" w:name="_Toc16938526"/>
      <w:r>
        <w:rPr>
          <w:rFonts w:hint="eastAsia" w:ascii="宋体" w:hAnsi="宋体" w:eastAsia="宋体" w:cs="宋体"/>
          <w:b/>
          <w:bCs/>
          <w:color w:val="auto"/>
          <w:sz w:val="28"/>
          <w:szCs w:val="28"/>
          <w:highlight w:val="none"/>
        </w:rPr>
        <w:t xml:space="preserve">7、招标文件构成</w:t>
      </w:r>
      <w:bookmarkEnd w:id="117"/>
      <w:r/>
      <w:bookmarkEnd w:id="118"/>
      <w:r/>
      <w:bookmarkEnd w:id="119"/>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7.1</w:t>
      </w:r>
      <w:r>
        <w:rPr>
          <w:rFonts w:hint="eastAsia" w:ascii="宋体" w:hAnsi="宋体" w:eastAsia="宋体" w:cs="宋体"/>
          <w:color w:val="auto"/>
          <w:sz w:val="24"/>
          <w:szCs w:val="21"/>
          <w:highlight w:val="none"/>
        </w:rPr>
        <w:t xml:space="preserve">招标文件由以下部分组成:</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(1)投标邀请</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(2)投标人须知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(3)资格审查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(4)评标程序、评标方法和评标标准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(5)采购需求</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(6)拟签订的合同文本</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(7)投标文件的组成及提交须知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(8)投标文件格式</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请仔细检查招标文件是否齐全，如有缺漏请立即与采购代理机构联系解决。</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7.2</w:t>
      </w:r>
      <w:r>
        <w:rPr>
          <w:rFonts w:hint="eastAsia" w:ascii="宋体" w:hAnsi="宋体" w:eastAsia="宋体" w:cs="宋体"/>
          <w:color w:val="auto"/>
          <w:sz w:val="24"/>
          <w:szCs w:val="21"/>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spacing w:line="360" w:lineRule="auto"/>
        <w:rPr>
          <w:rFonts w:hint="eastAsia" w:ascii="宋体" w:hAnsi="宋体" w:eastAsia="宋体" w:cs="宋体"/>
          <w:b/>
          <w:bCs/>
          <w:color w:val="auto"/>
          <w:sz w:val="28"/>
          <w:szCs w:val="28"/>
          <w:highlight w:val="none"/>
        </w:rPr>
        <w:outlineLvl w:val="3"/>
      </w:pPr>
      <w:r/>
      <w:bookmarkStart w:id="120" w:name="_Toc513029211"/>
      <w:r/>
      <w:bookmarkStart w:id="121" w:name="_Toc462564070"/>
      <w:r/>
      <w:bookmarkStart w:id="122" w:name="_Toc16938527"/>
      <w:r/>
      <w:bookmarkStart w:id="123" w:name="_Toc20823283"/>
      <w:r>
        <w:rPr>
          <w:rFonts w:hint="eastAsia" w:ascii="宋体" w:hAnsi="宋体" w:eastAsia="宋体" w:cs="宋体"/>
          <w:b/>
          <w:bCs/>
          <w:color w:val="auto"/>
          <w:sz w:val="28"/>
          <w:szCs w:val="28"/>
          <w:highlight w:val="none"/>
        </w:rPr>
        <w:t xml:space="preserve">8、招标文件的澄清</w:t>
      </w:r>
      <w:bookmarkEnd w:id="120"/>
      <w:r/>
      <w:bookmarkEnd w:id="121"/>
      <w:r/>
      <w:bookmarkEnd w:id="122"/>
      <w:r/>
      <w:bookmarkEnd w:id="123"/>
      <w:r/>
      <w:r/>
    </w:p>
    <w:p>
      <w:pPr>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8.1</w:t>
      </w:r>
      <w:r>
        <w:rPr>
          <w:rFonts w:hint="eastAsia" w:ascii="宋体" w:hAnsi="宋体" w:eastAsia="宋体" w:cs="宋体"/>
          <w:color w:val="auto"/>
          <w:sz w:val="24"/>
          <w:szCs w:val="21"/>
          <w:highlight w:val="none"/>
        </w:rPr>
        <w:t xml:space="preserve"> 采购人或采购代理机构对已发出的招标文件进行必要澄清或者修改的，将在原公告发布媒体上以发布更正公告的形式通知所有获取招标文件的潜在投标人。</w:t>
      </w:r>
      <w:r/>
    </w:p>
    <w:p>
      <w:pPr>
        <w:keepLines/>
        <w:keepNext/>
        <w:spacing w:line="360" w:lineRule="auto"/>
        <w:rPr>
          <w:rFonts w:hint="eastAsia" w:ascii="宋体" w:hAnsi="宋体" w:eastAsia="宋体" w:cs="宋体"/>
          <w:b/>
          <w:bCs/>
          <w:color w:val="auto"/>
          <w:sz w:val="28"/>
          <w:szCs w:val="28"/>
          <w:highlight w:val="none"/>
        </w:rPr>
        <w:outlineLvl w:val="3"/>
      </w:pPr>
      <w:r/>
      <w:bookmarkStart w:id="124" w:name="_Toc462564071"/>
      <w:r/>
      <w:bookmarkStart w:id="125" w:name="_Toc513029212"/>
      <w:r/>
      <w:bookmarkStart w:id="126" w:name="_Toc20823284"/>
      <w:r/>
      <w:bookmarkStart w:id="127" w:name="_Toc16938528"/>
      <w:r>
        <w:rPr>
          <w:rFonts w:hint="eastAsia" w:ascii="宋体" w:hAnsi="宋体" w:eastAsia="宋体" w:cs="宋体"/>
          <w:b/>
          <w:bCs/>
          <w:color w:val="auto"/>
          <w:sz w:val="28"/>
          <w:szCs w:val="28"/>
          <w:highlight w:val="none"/>
        </w:rPr>
        <w:t xml:space="preserve">9、招标文件的修改</w:t>
      </w:r>
      <w:bookmarkEnd w:id="124"/>
      <w:r/>
      <w:bookmarkEnd w:id="125"/>
      <w:r/>
      <w:bookmarkEnd w:id="126"/>
      <w:r/>
      <w:bookmarkEnd w:id="127"/>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9.1</w:t>
      </w:r>
      <w:r>
        <w:rPr>
          <w:rFonts w:hint="eastAsia" w:ascii="宋体" w:hAnsi="宋体" w:eastAsia="宋体" w:cs="宋体"/>
          <w:color w:val="auto"/>
          <w:sz w:val="24"/>
          <w:szCs w:val="21"/>
          <w:highlight w:val="none"/>
        </w:rPr>
        <w:t xml:space="preserve"> 在投标文件提交截止时间前，采购代理机构可以对招标文件进行澄清和修改,</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1"/>
          <w:highlight w:val="none"/>
        </w:rPr>
        <w:t xml:space="preserve">澄清或者修改的内容作为招标文件的组成部分。澄清或者修改的内容可能影响投标文件编制的，采购代理机构将在提交首次投标文件截止时间至少15日前，在“常州市政府采购网”上发布书面更正公告形式通知所有获取招标文件的投标人,</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1"/>
          <w:highlight w:val="none"/>
        </w:rPr>
        <w:t xml:space="preserve">更正公告内容将作为招标文件的组成部分，并对投标人具有约束力。不足15日的，采购代理机构将顺延提交首次投标文件截止时间。</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9.2采购代理机构可以视采购项目的具体情况，组织投标人进行现场考察或召开开标前答疑会，但不单独或分别组织只有一个投标人参加的现场考察和答疑会。</w:t>
      </w:r>
      <w:r/>
    </w:p>
    <w:p>
      <w:pPr>
        <w:jc w:val="center"/>
        <w:keepLines/>
        <w:keepNext/>
        <w:spacing w:line="360" w:lineRule="auto"/>
        <w:rPr>
          <w:rFonts w:hint="eastAsia" w:ascii="宋体" w:hAnsi="宋体" w:eastAsia="宋体" w:cs="宋体"/>
          <w:b/>
          <w:bCs/>
          <w:color w:val="auto"/>
          <w:sz w:val="32"/>
          <w:szCs w:val="32"/>
          <w:highlight w:val="none"/>
        </w:rPr>
        <w:outlineLvl w:val="2"/>
      </w:pPr>
      <w:r/>
      <w:bookmarkStart w:id="128" w:name="_Toc513029213"/>
      <w:r/>
      <w:bookmarkStart w:id="129" w:name="_Toc462564072"/>
      <w:r/>
      <w:bookmarkStart w:id="130" w:name="_Toc20823285"/>
      <w:r/>
      <w:bookmarkStart w:id="131" w:name="_Toc120614216"/>
      <w:r/>
      <w:bookmarkStart w:id="132" w:name="_Toc16938529"/>
      <w:r>
        <w:rPr>
          <w:rFonts w:hint="eastAsia" w:ascii="宋体" w:hAnsi="宋体" w:eastAsia="宋体" w:cs="宋体"/>
          <w:b/>
          <w:bCs/>
          <w:color w:val="auto"/>
          <w:sz w:val="30"/>
          <w:szCs w:val="30"/>
          <w:highlight w:val="none"/>
        </w:rPr>
        <w:t xml:space="preserve">三、投标文件的编制</w:t>
      </w:r>
      <w:bookmarkEnd w:id="128"/>
      <w:r/>
      <w:bookmarkEnd w:id="129"/>
      <w:r/>
      <w:bookmarkEnd w:id="130"/>
      <w:r/>
      <w:bookmarkEnd w:id="131"/>
      <w:r/>
      <w:bookmarkEnd w:id="132"/>
      <w:r/>
      <w:r/>
    </w:p>
    <w:p>
      <w:pPr>
        <w:keepLines/>
        <w:keepNext/>
        <w:spacing w:line="360" w:lineRule="auto"/>
        <w:rPr>
          <w:rFonts w:hint="eastAsia" w:ascii="宋体" w:hAnsi="宋体" w:eastAsia="宋体" w:cs="宋体"/>
          <w:b/>
          <w:bCs/>
          <w:color w:val="auto"/>
          <w:sz w:val="28"/>
          <w:szCs w:val="28"/>
          <w:highlight w:val="none"/>
        </w:rPr>
        <w:outlineLvl w:val="3"/>
      </w:pPr>
      <w:r/>
      <w:bookmarkStart w:id="133" w:name="_Toc462564073"/>
      <w:r/>
      <w:bookmarkStart w:id="134" w:name="_Toc20823286"/>
      <w:r/>
      <w:bookmarkStart w:id="135" w:name="_Toc513029214"/>
      <w:r/>
      <w:bookmarkStart w:id="136" w:name="_Toc16938530"/>
      <w:r>
        <w:rPr>
          <w:rFonts w:hint="eastAsia" w:ascii="宋体" w:hAnsi="宋体" w:eastAsia="宋体" w:cs="宋体"/>
          <w:b/>
          <w:bCs/>
          <w:color w:val="auto"/>
          <w:sz w:val="28"/>
          <w:szCs w:val="28"/>
          <w:highlight w:val="none"/>
        </w:rPr>
        <w:t xml:space="preserve">10、投标文件的语言及度量衡单位</w:t>
      </w:r>
      <w:bookmarkEnd w:id="133"/>
      <w:r/>
      <w:bookmarkEnd w:id="134"/>
      <w:r/>
      <w:bookmarkEnd w:id="135"/>
      <w:r/>
      <w:bookmarkEnd w:id="136"/>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10.1</w:t>
      </w:r>
      <w:r>
        <w:rPr>
          <w:rFonts w:hint="eastAsia" w:ascii="宋体" w:hAnsi="宋体" w:eastAsia="宋体" w:cs="宋体"/>
          <w:color w:val="auto"/>
          <w:sz w:val="24"/>
          <w:szCs w:val="21"/>
          <w:highlight w:val="none"/>
        </w:rPr>
        <w:t xml:space="preserve">投标人提交的投标文件以及投标人与采购代理机构就有关投标的所有来往通知、函件和文件均应使用</w:t>
      </w:r>
      <w:r>
        <w:rPr>
          <w:rFonts w:hint="eastAsia" w:ascii="宋体" w:hAnsi="宋体" w:eastAsia="宋体" w:cs="宋体"/>
          <w:b/>
          <w:bCs/>
          <w:color w:val="auto"/>
          <w:sz w:val="24"/>
          <w:szCs w:val="21"/>
          <w:highlight w:val="none"/>
        </w:rPr>
        <w:t xml:space="preserve">简体中文</w:t>
      </w:r>
      <w:r>
        <w:rPr>
          <w:rFonts w:hint="eastAsia" w:ascii="宋体" w:hAnsi="宋体" w:eastAsia="宋体" w:cs="宋体"/>
          <w:color w:val="auto"/>
          <w:sz w:val="24"/>
          <w:szCs w:val="21"/>
          <w:highlight w:val="none"/>
        </w:rPr>
        <w:t xml:space="preserve">。</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10.2</w:t>
      </w:r>
      <w:r>
        <w:rPr>
          <w:rFonts w:hint="eastAsia" w:ascii="宋体" w:hAnsi="宋体" w:eastAsia="宋体" w:cs="宋体"/>
          <w:color w:val="auto"/>
          <w:sz w:val="24"/>
          <w:szCs w:val="21"/>
          <w:highlight w:val="none"/>
        </w:rPr>
        <w:t xml:space="preserve"> 除技术性能另有规定外，投标文件所使用的度量衡单位，均须采用国家法定计量单位。</w:t>
      </w:r>
      <w:r/>
    </w:p>
    <w:p>
      <w:pPr>
        <w:keepLines/>
        <w:keepNext/>
        <w:spacing w:line="360" w:lineRule="auto"/>
        <w:rPr>
          <w:rFonts w:hint="eastAsia" w:ascii="宋体" w:hAnsi="宋体" w:eastAsia="宋体" w:cs="宋体"/>
          <w:b/>
          <w:bCs/>
          <w:color w:val="auto"/>
          <w:sz w:val="28"/>
          <w:szCs w:val="28"/>
          <w:highlight w:val="none"/>
        </w:rPr>
        <w:outlineLvl w:val="3"/>
      </w:pPr>
      <w:r/>
      <w:bookmarkStart w:id="137" w:name="_Toc462564074"/>
      <w:r/>
      <w:bookmarkStart w:id="138" w:name="_Toc16938531"/>
      <w:r/>
      <w:bookmarkStart w:id="139" w:name="_Toc513029215"/>
      <w:r/>
      <w:bookmarkStart w:id="140" w:name="_Toc20823287"/>
      <w:r>
        <w:rPr>
          <w:rFonts w:hint="eastAsia" w:ascii="宋体" w:hAnsi="宋体" w:eastAsia="宋体" w:cs="宋体"/>
          <w:b/>
          <w:bCs/>
          <w:color w:val="auto"/>
          <w:sz w:val="28"/>
          <w:szCs w:val="28"/>
          <w:highlight w:val="none"/>
        </w:rPr>
        <w:t xml:space="preserve">11、投标文件构成</w:t>
      </w:r>
      <w:bookmarkEnd w:id="137"/>
      <w:r/>
      <w:bookmarkEnd w:id="138"/>
      <w:r/>
      <w:bookmarkEnd w:id="139"/>
      <w:r/>
      <w:bookmarkEnd w:id="140"/>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11.1</w:t>
      </w:r>
      <w:r>
        <w:rPr>
          <w:rFonts w:hint="eastAsia" w:ascii="宋体" w:hAnsi="宋体" w:eastAsia="宋体" w:cs="宋体"/>
          <w:color w:val="auto"/>
          <w:sz w:val="24"/>
          <w:szCs w:val="21"/>
          <w:highlight w:val="none"/>
        </w:rPr>
        <w:t xml:space="preserve">投标人编写的投标文件应包括资格证明文件、符合性证明文件、投标报价明细表、偏离表、其他证明文件、投标函、开标一览表等部分。</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11.2 如标书制作工具中格式和内容与“常州市政府采购网”发布的招标文件不一致，请以“常州市政府采购网”发布的招标文件为准。</w:t>
      </w:r>
      <w:r/>
    </w:p>
    <w:p>
      <w:pPr>
        <w:keepLines/>
        <w:keepNext/>
        <w:spacing w:line="360" w:lineRule="auto"/>
        <w:rPr>
          <w:rFonts w:hint="eastAsia" w:ascii="宋体" w:hAnsi="宋体" w:eastAsia="宋体" w:cs="宋体"/>
          <w:b/>
          <w:bCs/>
          <w:color w:val="auto"/>
          <w:sz w:val="28"/>
          <w:szCs w:val="28"/>
          <w:highlight w:val="none"/>
        </w:rPr>
        <w:outlineLvl w:val="3"/>
      </w:pPr>
      <w:r/>
      <w:bookmarkStart w:id="141" w:name="_Hlt26670360"/>
      <w:r/>
      <w:bookmarkEnd w:id="141"/>
      <w:r/>
      <w:bookmarkStart w:id="142" w:name="_Hlt26954838"/>
      <w:r/>
      <w:bookmarkEnd w:id="142"/>
      <w:r/>
      <w:bookmarkStart w:id="143" w:name="_Hlt26668975"/>
      <w:r/>
      <w:bookmarkEnd w:id="143"/>
      <w:r/>
      <w:bookmarkStart w:id="144" w:name="_Toc513029219"/>
      <w:r/>
      <w:bookmarkStart w:id="145" w:name="_Toc49090509"/>
      <w:r/>
      <w:bookmarkStart w:id="146" w:name="_Toc513029216"/>
      <w:r/>
      <w:bookmarkStart w:id="147" w:name="_Toc49090507"/>
      <w:r/>
      <w:bookmarkStart w:id="148" w:name="_Toc14577357"/>
      <w:r/>
      <w:bookmarkStart w:id="149" w:name="_Toc14577354"/>
      <w:r/>
      <w:bookmarkStart w:id="150" w:name="_Toc14577355"/>
      <w:r/>
      <w:bookmarkStart w:id="151" w:name="_Toc49090508"/>
      <w:r>
        <w:rPr>
          <w:rFonts w:hint="eastAsia" w:ascii="宋体" w:hAnsi="宋体" w:eastAsia="宋体" w:cs="宋体"/>
          <w:b/>
          <w:bCs/>
          <w:color w:val="auto"/>
          <w:sz w:val="28"/>
          <w:szCs w:val="28"/>
          <w:highlight w:val="none"/>
        </w:rPr>
        <w:t xml:space="preserve">12、</w:t>
      </w:r>
      <w:bookmarkEnd w:id="144"/>
      <w:r/>
      <w:bookmarkEnd w:id="145"/>
      <w:r/>
      <w:bookmarkEnd w:id="146"/>
      <w:r/>
      <w:bookmarkEnd w:id="147"/>
      <w:r/>
      <w:bookmarkEnd w:id="148"/>
      <w:r/>
      <w:bookmarkEnd w:id="149"/>
      <w:r>
        <w:rPr>
          <w:rFonts w:hint="eastAsia" w:ascii="宋体" w:hAnsi="宋体" w:eastAsia="宋体" w:cs="宋体"/>
          <w:b/>
          <w:bCs/>
          <w:color w:val="auto"/>
          <w:sz w:val="28"/>
          <w:szCs w:val="28"/>
          <w:highlight w:val="none"/>
        </w:rPr>
        <w:t xml:space="preserve">证明投标人及投标标的符合招标文件规定的文件</w:t>
      </w:r>
      <w:r/>
    </w:p>
    <w:p>
      <w:pPr>
        <w:keepLines/>
        <w:keepNext/>
        <w:spacing w:line="360" w:lineRule="auto"/>
        <w:rPr>
          <w:rFonts w:hint="eastAsia" w:ascii="宋体" w:hAnsi="宋体" w:eastAsia="宋体" w:cs="宋体"/>
          <w:color w:val="auto"/>
          <w:sz w:val="28"/>
          <w:szCs w:val="28"/>
          <w:highlight w:val="none"/>
        </w:rPr>
        <w:outlineLvl w:val="3"/>
      </w:pPr>
      <w:r>
        <w:rPr>
          <w:rFonts w:hint="eastAsia" w:ascii="宋体" w:hAnsi="宋体" w:eastAsia="宋体" w:cs="宋体"/>
          <w:color w:val="auto"/>
          <w:sz w:val="24"/>
          <w:highlight w:val="none"/>
        </w:rPr>
        <w:t xml:space="preserve">12.1投标人应按照招标文件要求提交证明文件，证明其及投标标的符合招标文件规定。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12.2招标文件对证明文件无明确形式要求的，证明文件可以以文字资料、图纸和数据等形式提交。</w:t>
      </w:r>
      <w:bookmarkEnd w:id="150"/>
      <w:r/>
      <w:bookmarkEnd w:id="151"/>
      <w:r/>
      <w:r/>
    </w:p>
    <w:p>
      <w:pPr>
        <w:keepLines/>
        <w:keepNext/>
        <w:spacing w:line="360" w:lineRule="auto"/>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28"/>
          <w:szCs w:val="28"/>
          <w:highlight w:val="none"/>
        </w:rPr>
        <w:t xml:space="preserve">13、报价明细表</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13.1</w:t>
      </w:r>
      <w:r>
        <w:rPr>
          <w:rFonts w:hint="eastAsia" w:ascii="宋体" w:hAnsi="宋体" w:eastAsia="宋体" w:cs="宋体"/>
          <w:color w:val="auto"/>
          <w:sz w:val="24"/>
          <w:szCs w:val="21"/>
          <w:highlight w:val="none"/>
        </w:rPr>
        <w:t xml:space="preserve">投标人应按照招标文件规定格式填报投标报价明细表。</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13.2</w:t>
      </w:r>
      <w:r>
        <w:rPr>
          <w:rFonts w:hint="eastAsia" w:ascii="宋体" w:hAnsi="宋体" w:eastAsia="宋体" w:cs="宋体"/>
          <w:bCs/>
          <w:color w:val="auto"/>
          <w:sz w:val="24"/>
          <w:szCs w:val="21"/>
          <w:highlight w:val="none"/>
        </w:rPr>
        <w:t xml:space="preserve">投标货币。投标文件中的单价和总价无特殊规定的采用人民币报价，以元为单位标注。招标文件中另有规定的按规定执行</w:t>
      </w:r>
      <w:r>
        <w:rPr>
          <w:rFonts w:hint="eastAsia" w:ascii="宋体" w:hAnsi="宋体" w:eastAsia="宋体" w:cs="宋体"/>
          <w:color w:val="auto"/>
          <w:sz w:val="24"/>
          <w:szCs w:val="21"/>
          <w:highlight w:val="none"/>
        </w:rPr>
        <w:t xml:space="preserve">。</w:t>
      </w:r>
      <w:r/>
    </w:p>
    <w:p>
      <w:pPr>
        <w:keepLines/>
        <w:keepNext/>
        <w:spacing w:line="360" w:lineRule="auto"/>
        <w:rPr>
          <w:rFonts w:hint="eastAsia" w:ascii="宋体" w:hAnsi="宋体" w:eastAsia="宋体" w:cs="宋体"/>
          <w:b/>
          <w:bCs/>
          <w:color w:val="auto"/>
          <w:sz w:val="28"/>
          <w:szCs w:val="28"/>
          <w:highlight w:val="none"/>
        </w:rPr>
        <w:outlineLvl w:val="3"/>
      </w:pPr>
      <w:r/>
      <w:bookmarkStart w:id="152" w:name="_Hlt26954731"/>
      <w:r/>
      <w:bookmarkEnd w:id="152"/>
      <w:r/>
      <w:bookmarkStart w:id="153" w:name="_Hlt26670482"/>
      <w:r/>
      <w:bookmarkEnd w:id="153"/>
      <w:r/>
      <w:bookmarkStart w:id="154" w:name="_Hlt26670486"/>
      <w:r/>
      <w:bookmarkEnd w:id="154"/>
      <w:r/>
      <w:bookmarkStart w:id="155" w:name="_Hlt26954846"/>
      <w:r/>
      <w:bookmarkEnd w:id="155"/>
      <w:r/>
      <w:bookmarkStart w:id="156" w:name="_Hlt26954848"/>
      <w:r/>
      <w:bookmarkEnd w:id="156"/>
      <w:r>
        <w:rPr>
          <w:rFonts w:hint="eastAsia" w:ascii="宋体" w:hAnsi="宋体" w:eastAsia="宋体" w:cs="宋体"/>
          <w:b/>
          <w:bCs/>
          <w:color w:val="auto"/>
          <w:sz w:val="28"/>
          <w:szCs w:val="28"/>
          <w:highlight w:val="none"/>
        </w:rPr>
        <w:t xml:space="preserve">14、技术要求响应及偏离表、商务要求响应及偏离表</w:t>
      </w:r>
      <w:r/>
    </w:p>
    <w:p>
      <w:pPr>
        <w:spacing w:line="360" w:lineRule="auto"/>
        <w:rPr>
          <w:rFonts w:hint="eastAsia" w:ascii="宋体" w:hAnsi="宋体" w:eastAsia="宋体" w:cs="宋体"/>
          <w:color w:val="auto"/>
          <w:sz w:val="24"/>
          <w:szCs w:val="21"/>
          <w:highlight w:val="none"/>
          <w:lang w:val="zh-CN"/>
        </w:rPr>
      </w:pPr>
      <w:r>
        <w:rPr>
          <w:rFonts w:hint="eastAsia" w:ascii="宋体" w:hAnsi="宋体" w:eastAsia="宋体" w:cs="宋体"/>
          <w:bCs/>
          <w:color w:val="auto"/>
          <w:sz w:val="24"/>
          <w:szCs w:val="21"/>
          <w:highlight w:val="none"/>
          <w:lang w:val="zh-CN"/>
        </w:rPr>
        <w:t xml:space="preserve">1</w:t>
      </w:r>
      <w:r>
        <w:rPr>
          <w:rFonts w:hint="eastAsia" w:ascii="宋体" w:hAnsi="宋体" w:eastAsia="宋体" w:cs="宋体"/>
          <w:bCs/>
          <w:color w:val="auto"/>
          <w:sz w:val="24"/>
          <w:szCs w:val="21"/>
          <w:highlight w:val="none"/>
        </w:rPr>
        <w:t xml:space="preserve">4</w:t>
      </w:r>
      <w:r>
        <w:rPr>
          <w:rFonts w:hint="eastAsia" w:ascii="宋体" w:hAnsi="宋体" w:eastAsia="宋体" w:cs="宋体"/>
          <w:bCs/>
          <w:color w:val="auto"/>
          <w:sz w:val="24"/>
          <w:szCs w:val="21"/>
          <w:highlight w:val="none"/>
          <w:lang w:val="zh-CN"/>
        </w:rPr>
        <w:t xml:space="preserve">.1</w:t>
      </w:r>
      <w:r>
        <w:rPr>
          <w:rFonts w:hint="eastAsia" w:ascii="宋体" w:hAnsi="宋体" w:eastAsia="宋体" w:cs="宋体"/>
          <w:color w:val="auto"/>
          <w:sz w:val="24"/>
          <w:szCs w:val="21"/>
          <w:highlight w:val="none"/>
          <w:lang w:val="zh-CN"/>
        </w:rPr>
        <w:t xml:space="preserve">投标人需对招标文件中的技术要求、商务要求逐项作出响应或偏离，并说明原因。</w:t>
      </w:r>
      <w:r/>
    </w:p>
    <w:p>
      <w:pPr>
        <w:spacing w:line="360" w:lineRule="auto"/>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w:t>
      </w:r>
      <w:r>
        <w:rPr>
          <w:rFonts w:hint="eastAsia" w:ascii="宋体" w:hAnsi="宋体" w:eastAsia="宋体" w:cs="宋体"/>
          <w:color w:val="auto"/>
          <w:sz w:val="24"/>
          <w:szCs w:val="21"/>
          <w:highlight w:val="none"/>
        </w:rPr>
        <w:t xml:space="preserve">4</w:t>
      </w:r>
      <w:r>
        <w:rPr>
          <w:rFonts w:hint="eastAsia" w:ascii="宋体" w:hAnsi="宋体" w:eastAsia="宋体" w:cs="宋体"/>
          <w:color w:val="auto"/>
          <w:sz w:val="24"/>
          <w:szCs w:val="21"/>
          <w:highlight w:val="none"/>
          <w:lang w:val="zh-CN"/>
        </w:rPr>
        <w:t xml:space="preserve">.2投标人可在投标文件中提供认为需要的其他技术文件或说明。</w:t>
      </w:r>
      <w:r/>
    </w:p>
    <w:p>
      <w:pPr>
        <w:keepLines/>
        <w:keepNext/>
        <w:spacing w:line="360" w:lineRule="auto"/>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28"/>
          <w:szCs w:val="28"/>
          <w:highlight w:val="none"/>
        </w:rPr>
        <w:t xml:space="preserve">15、服务承诺、培训计划、人员安排及其他</w:t>
      </w:r>
      <w:r/>
    </w:p>
    <w:p>
      <w:pPr>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15.1</w:t>
      </w:r>
      <w:r>
        <w:rPr>
          <w:rFonts w:hint="eastAsia" w:ascii="宋体" w:hAnsi="宋体" w:eastAsia="宋体" w:cs="宋体"/>
          <w:color w:val="auto"/>
          <w:sz w:val="24"/>
          <w:highlight w:val="none"/>
        </w:rPr>
        <w:t xml:space="preserve">投标人需根据招标文件要求提供有关售后服务的管理制度，售后服务机构的分布情况，售后服务人员的数量、素质、技术水平及售后服务的反应能力等。</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15.2投标人需根据招标文件要求提供培训计划。</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15.3投标人需根据招标文件要求提供</w:t>
      </w:r>
      <w:r>
        <w:rPr>
          <w:rFonts w:hint="eastAsia" w:ascii="宋体" w:hAnsi="宋体" w:eastAsia="宋体" w:cs="宋体"/>
          <w:color w:val="auto"/>
          <w:sz w:val="24"/>
          <w:szCs w:val="21"/>
          <w:highlight w:val="none"/>
          <w:lang w:val="zh-CN"/>
        </w:rPr>
        <w:t xml:space="preserve">投标标的的主要组成部分、功能设计、实现思路及关键技术等。</w:t>
      </w:r>
      <w:r/>
    </w:p>
    <w:p>
      <w:pPr>
        <w:keepLines/>
        <w:keepNext/>
        <w:spacing w:line="360" w:lineRule="auto"/>
        <w:rPr>
          <w:rFonts w:hint="eastAsia" w:ascii="宋体" w:hAnsi="宋体" w:eastAsia="宋体" w:cs="宋体"/>
          <w:b/>
          <w:bCs/>
          <w:color w:val="auto"/>
          <w:sz w:val="28"/>
          <w:szCs w:val="28"/>
          <w:highlight w:val="none"/>
        </w:rPr>
        <w:outlineLvl w:val="3"/>
      </w:pPr>
      <w:r/>
      <w:bookmarkStart w:id="157" w:name="_Toc14577359"/>
      <w:r/>
      <w:bookmarkStart w:id="158" w:name="_Toc49090510"/>
      <w:r>
        <w:rPr>
          <w:rFonts w:hint="eastAsia" w:ascii="宋体" w:hAnsi="宋体" w:eastAsia="宋体" w:cs="宋体"/>
          <w:b/>
          <w:bCs/>
          <w:color w:val="auto"/>
          <w:sz w:val="28"/>
          <w:szCs w:val="28"/>
          <w:highlight w:val="none"/>
        </w:rPr>
        <w:t xml:space="preserve">16、投标函和开标一览表</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16.1 投标人应按照招标文件中提供的格式完整、正确填写投标函、开标一览表。</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highlight w:val="none"/>
        </w:rPr>
        <w:t xml:space="preserve">16.2 对于采用货币报价的项目，开标一览表中的投标总报价应与报价明细表中的投标总报价一致，如不一致，不作为无效投标处理，但评标时按开标一览表中价格为准。</w:t>
      </w:r>
      <w:bookmarkEnd w:id="157"/>
      <w:r/>
      <w:bookmarkEnd w:id="158"/>
      <w:r/>
      <w:r/>
    </w:p>
    <w:p>
      <w:pPr>
        <w:keepLines/>
        <w:keepNext/>
        <w:spacing w:line="360" w:lineRule="auto"/>
        <w:rPr>
          <w:rFonts w:hint="eastAsia" w:ascii="宋体" w:hAnsi="宋体" w:eastAsia="宋体" w:cs="宋体"/>
          <w:b/>
          <w:bCs/>
          <w:color w:val="auto"/>
          <w:sz w:val="28"/>
          <w:szCs w:val="28"/>
          <w:highlight w:val="none"/>
        </w:rPr>
        <w:outlineLvl w:val="3"/>
      </w:pPr>
      <w:r/>
      <w:bookmarkStart w:id="159" w:name="_Toc14577360"/>
      <w:r/>
      <w:bookmarkStart w:id="160" w:name="_Toc49090511"/>
      <w:r>
        <w:rPr>
          <w:rFonts w:hint="eastAsia" w:ascii="宋体" w:hAnsi="宋体" w:eastAsia="宋体" w:cs="宋体"/>
          <w:b/>
          <w:bCs/>
          <w:color w:val="auto"/>
          <w:sz w:val="28"/>
          <w:szCs w:val="28"/>
          <w:highlight w:val="none"/>
        </w:rPr>
        <w:t xml:space="preserve">17、</w:t>
      </w:r>
      <w:bookmarkEnd w:id="159"/>
      <w:r/>
      <w:bookmarkEnd w:id="160"/>
      <w:r>
        <w:rPr>
          <w:rFonts w:hint="eastAsia" w:ascii="宋体" w:hAnsi="宋体" w:eastAsia="宋体" w:cs="宋体"/>
          <w:b/>
          <w:bCs/>
          <w:color w:val="auto"/>
          <w:sz w:val="28"/>
          <w:szCs w:val="28"/>
          <w:highlight w:val="none"/>
        </w:rPr>
        <w:t xml:space="preserve">投标有效期</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17.1投标有效期为采购代理机构规定的开标之日后</w:t>
      </w:r>
      <w:r>
        <w:rPr>
          <w:rFonts w:hint="eastAsia" w:ascii="宋体" w:hAnsi="宋体" w:eastAsia="宋体" w:cs="宋体"/>
          <w:b/>
          <w:color w:val="auto"/>
          <w:sz w:val="24"/>
          <w:szCs w:val="21"/>
          <w:highlight w:val="none"/>
          <w:u w:val="single"/>
        </w:rPr>
        <w:t xml:space="preserve">60</w:t>
      </w:r>
      <w:r>
        <w:rPr>
          <w:rFonts w:hint="eastAsia" w:ascii="宋体" w:hAnsi="宋体" w:eastAsia="宋体" w:cs="宋体"/>
          <w:bCs/>
          <w:color w:val="auto"/>
          <w:sz w:val="24"/>
          <w:szCs w:val="21"/>
          <w:highlight w:val="none"/>
        </w:rPr>
        <w:t xml:space="preserve">天。投标有效期比规定短的将被视为未实质性响应招标文件而予以拒绝。</w:t>
      </w:r>
      <w:r/>
    </w:p>
    <w:p>
      <w:pPr>
        <w:keepLines/>
        <w:keepNext/>
        <w:spacing w:line="360" w:lineRule="auto"/>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28"/>
          <w:szCs w:val="28"/>
          <w:highlight w:val="none"/>
        </w:rPr>
        <w:t xml:space="preserve">18、投标有效期的延长</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18.1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jc w:val="center"/>
        <w:keepLines/>
        <w:keepNext/>
        <w:spacing w:line="360" w:lineRule="auto"/>
        <w:rPr>
          <w:rFonts w:hint="eastAsia" w:ascii="宋体" w:hAnsi="宋体" w:eastAsia="宋体" w:cs="宋体"/>
          <w:b/>
          <w:bCs/>
          <w:color w:val="auto"/>
          <w:sz w:val="30"/>
          <w:szCs w:val="30"/>
          <w:highlight w:val="none"/>
        </w:rPr>
        <w:outlineLvl w:val="2"/>
      </w:pPr>
      <w:r/>
      <w:bookmarkStart w:id="161" w:name="_Hlt26954739"/>
      <w:r/>
      <w:bookmarkEnd w:id="161"/>
      <w:r/>
      <w:bookmarkStart w:id="162" w:name="_Hlt26954852"/>
      <w:r/>
      <w:bookmarkEnd w:id="162"/>
      <w:r/>
      <w:bookmarkStart w:id="163" w:name="_Toc120614217"/>
      <w:r/>
      <w:bookmarkStart w:id="164" w:name="_Toc513029224"/>
      <w:r/>
      <w:bookmarkStart w:id="165" w:name="_Toc20823296"/>
      <w:r/>
      <w:bookmarkStart w:id="166" w:name="_Toc16938540"/>
      <w:r>
        <w:rPr>
          <w:rFonts w:hint="eastAsia" w:ascii="宋体" w:hAnsi="宋体" w:eastAsia="宋体" w:cs="宋体"/>
          <w:b/>
          <w:bCs/>
          <w:color w:val="auto"/>
          <w:sz w:val="30"/>
          <w:szCs w:val="30"/>
          <w:highlight w:val="none"/>
        </w:rPr>
        <w:t xml:space="preserve">四、投标文件的递交</w:t>
      </w:r>
      <w:bookmarkEnd w:id="163"/>
      <w:r/>
      <w:bookmarkEnd w:id="164"/>
      <w:r/>
      <w:bookmarkEnd w:id="165"/>
      <w:r/>
      <w:bookmarkEnd w:id="166"/>
      <w:r/>
      <w:r/>
    </w:p>
    <w:p>
      <w:pPr>
        <w:keepLines/>
        <w:keepNext/>
        <w:spacing w:line="360" w:lineRule="auto"/>
        <w:rPr>
          <w:rFonts w:hint="eastAsia" w:ascii="宋体" w:hAnsi="宋体" w:eastAsia="宋体" w:cs="宋体"/>
          <w:b/>
          <w:bCs/>
          <w:color w:val="auto"/>
          <w:sz w:val="28"/>
          <w:szCs w:val="28"/>
          <w:highlight w:val="none"/>
        </w:rPr>
        <w:outlineLvl w:val="3"/>
      </w:pPr>
      <w:r/>
      <w:bookmarkStart w:id="167" w:name="_Toc513029225"/>
      <w:r/>
      <w:bookmarkStart w:id="168" w:name="_Toc20823297"/>
      <w:r/>
      <w:bookmarkStart w:id="169" w:name="_Toc462564084"/>
      <w:r/>
      <w:bookmarkStart w:id="170" w:name="_Toc16938541"/>
      <w:r>
        <w:rPr>
          <w:rFonts w:hint="eastAsia" w:ascii="宋体" w:hAnsi="宋体" w:eastAsia="宋体" w:cs="宋体"/>
          <w:b/>
          <w:bCs/>
          <w:color w:val="auto"/>
          <w:sz w:val="28"/>
          <w:szCs w:val="28"/>
          <w:highlight w:val="none"/>
        </w:rPr>
        <w:t xml:space="preserve">19、</w:t>
      </w:r>
      <w:bookmarkEnd w:id="167"/>
      <w:r/>
      <w:bookmarkEnd w:id="168"/>
      <w:r/>
      <w:bookmarkEnd w:id="169"/>
      <w:r/>
      <w:bookmarkEnd w:id="170"/>
      <w:r>
        <w:rPr>
          <w:rFonts w:hint="eastAsia" w:ascii="宋体" w:hAnsi="宋体" w:eastAsia="宋体" w:cs="宋体"/>
          <w:b/>
          <w:bCs/>
          <w:color w:val="auto"/>
          <w:sz w:val="28"/>
          <w:szCs w:val="28"/>
          <w:highlight w:val="none"/>
        </w:rPr>
        <w:t xml:space="preserve">电子投标文件的递交</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19.1投标人应当按照《操作手册》规定，在提交投标文件截止时间前制作并上传电子投标文件。</w:t>
      </w:r>
      <w:bookmarkStart w:id="171" w:name="_Toc16938542"/>
      <w:r/>
      <w:bookmarkStart w:id="172" w:name="_Toc513029226"/>
      <w:r/>
      <w:bookmarkStart w:id="173" w:name="_Toc20823298"/>
      <w:r/>
      <w:r/>
    </w:p>
    <w:p>
      <w:pPr>
        <w:keepLines/>
        <w:keepNext/>
        <w:spacing w:line="360" w:lineRule="auto"/>
        <w:rPr>
          <w:rFonts w:hint="eastAsia" w:ascii="宋体" w:hAnsi="宋体" w:eastAsia="宋体" w:cs="宋体"/>
          <w:b/>
          <w:color w:val="auto"/>
          <w:sz w:val="24"/>
          <w:szCs w:val="28"/>
          <w:highlight w:val="none"/>
        </w:rPr>
        <w:outlineLvl w:val="3"/>
      </w:pPr>
      <w:r>
        <w:rPr>
          <w:rFonts w:hint="eastAsia" w:ascii="宋体" w:hAnsi="宋体" w:eastAsia="宋体" w:cs="宋体"/>
          <w:b/>
          <w:color w:val="auto"/>
          <w:sz w:val="28"/>
          <w:szCs w:val="28"/>
          <w:highlight w:val="none"/>
        </w:rPr>
        <w:t xml:space="preserve">20、提交投标文件截止时间</w:t>
      </w:r>
      <w:bookmarkEnd w:id="171"/>
      <w:r/>
      <w:bookmarkEnd w:id="172"/>
      <w:r/>
      <w:bookmarkEnd w:id="173"/>
      <w:r/>
      <w:r/>
    </w:p>
    <w:p>
      <w:pPr>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20.1 投标人上传电子投标文件的时间不得迟于招标公告中规定的投标截止时间。投标人应充分考虑到网络环境、网络带宽等风险因素，如因投标人自身原因造成的电子投标文件上传不成功的按照本招标文件第二章第28.1.2条规定做无效投标处理。</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iCs/>
          <w:color w:val="auto"/>
          <w:sz w:val="24"/>
          <w:szCs w:val="21"/>
          <w:highlight w:val="none"/>
        </w:rPr>
        <w:t xml:space="preserve">20.2 采购代理机构可以按照规定，通过修改招标文件酌情延长投标截止日期，在此情况下，投标人的所有权利和义务以及投标人受制的截止日期均应以延长后新的截止日期为准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Cs/>
          <w:color w:val="auto"/>
          <w:sz w:val="24"/>
          <w:szCs w:val="21"/>
          <w:highlight w:val="none"/>
        </w:rPr>
        <w:t xml:space="preserve">。</w:t>
      </w:r>
      <w:r/>
    </w:p>
    <w:p>
      <w:pPr>
        <w:keepLines/>
        <w:keepNext/>
        <w:spacing w:line="360" w:lineRule="auto"/>
        <w:rPr>
          <w:rFonts w:hint="eastAsia" w:ascii="宋体" w:hAnsi="宋体" w:eastAsia="宋体" w:cs="宋体"/>
          <w:b/>
          <w:bCs/>
          <w:color w:val="auto"/>
          <w:sz w:val="28"/>
          <w:szCs w:val="28"/>
          <w:highlight w:val="none"/>
        </w:rPr>
        <w:outlineLvl w:val="3"/>
      </w:pPr>
      <w:r/>
      <w:bookmarkStart w:id="174" w:name="_Toc16938543"/>
      <w:r/>
      <w:bookmarkStart w:id="175" w:name="_Toc513029227"/>
      <w:r/>
      <w:bookmarkStart w:id="176" w:name="_Toc20823299"/>
      <w:r>
        <w:rPr>
          <w:rFonts w:hint="eastAsia" w:ascii="宋体" w:hAnsi="宋体" w:eastAsia="宋体" w:cs="宋体"/>
          <w:b/>
          <w:bCs/>
          <w:color w:val="auto"/>
          <w:sz w:val="28"/>
          <w:szCs w:val="28"/>
          <w:highlight w:val="none"/>
        </w:rPr>
        <w:t xml:space="preserve">21、</w:t>
      </w:r>
      <w:bookmarkEnd w:id="174"/>
      <w:r/>
      <w:bookmarkEnd w:id="175"/>
      <w:r/>
      <w:bookmarkEnd w:id="176"/>
      <w:r>
        <w:rPr>
          <w:rFonts w:hint="eastAsia" w:ascii="宋体" w:hAnsi="宋体" w:eastAsia="宋体" w:cs="宋体"/>
          <w:b/>
          <w:bCs/>
          <w:color w:val="auto"/>
          <w:sz w:val="28"/>
          <w:szCs w:val="28"/>
          <w:highlight w:val="none"/>
        </w:rPr>
        <w:t xml:space="preserve">投标文件的拒收</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21.1 采购代理机构拒绝接收在其规定的提交投标文件截止时间后上传的任何电子投标文件。</w:t>
      </w:r>
      <w:r/>
    </w:p>
    <w:p>
      <w:pPr>
        <w:keepLines/>
        <w:keepNext/>
        <w:spacing w:line="360" w:lineRule="auto"/>
        <w:rPr>
          <w:rFonts w:hint="eastAsia" w:ascii="宋体" w:hAnsi="宋体" w:eastAsia="宋体" w:cs="宋体"/>
          <w:b/>
          <w:bCs/>
          <w:color w:val="auto"/>
          <w:sz w:val="28"/>
          <w:szCs w:val="28"/>
          <w:highlight w:val="none"/>
        </w:rPr>
        <w:outlineLvl w:val="3"/>
      </w:pPr>
      <w:r/>
      <w:bookmarkStart w:id="177" w:name="_Toc513029228"/>
      <w:r/>
      <w:bookmarkStart w:id="178" w:name="_Toc20823300"/>
      <w:r/>
      <w:bookmarkStart w:id="179" w:name="_Toc16938544"/>
      <w:r>
        <w:rPr>
          <w:rFonts w:hint="eastAsia" w:ascii="宋体" w:hAnsi="宋体" w:eastAsia="宋体" w:cs="宋体"/>
          <w:b/>
          <w:bCs/>
          <w:color w:val="auto"/>
          <w:sz w:val="28"/>
          <w:szCs w:val="28"/>
          <w:highlight w:val="none"/>
        </w:rPr>
        <w:t xml:space="preserve">22、投标文件的撤回和修改</w:t>
      </w:r>
      <w:bookmarkEnd w:id="177"/>
      <w:r/>
      <w:bookmarkEnd w:id="178"/>
      <w:r/>
      <w:bookmarkEnd w:id="179"/>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22.1投标文件的撤回</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22.1.1 电子投标文件的撤回</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投标人可在</w:t>
      </w:r>
      <w:r>
        <w:rPr>
          <w:rFonts w:hint="eastAsia" w:ascii="宋体" w:hAnsi="宋体" w:eastAsia="宋体" w:cs="宋体"/>
          <w:bCs/>
          <w:color w:val="auto"/>
          <w:sz w:val="24"/>
          <w:szCs w:val="21"/>
          <w:highlight w:val="none"/>
        </w:rPr>
        <w:t xml:space="preserve">提交投标文件</w:t>
      </w:r>
      <w:r>
        <w:rPr>
          <w:rFonts w:hint="eastAsia" w:ascii="宋体" w:hAnsi="宋体" w:eastAsia="宋体" w:cs="宋体"/>
          <w:color w:val="auto"/>
          <w:sz w:val="24"/>
          <w:szCs w:val="21"/>
          <w:highlight w:val="none"/>
        </w:rPr>
        <w:t xml:space="preserve">截止时间前，撤回其电子投标文件，具体操作方法见《操作手册》。</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22.1.2投标人撤回电子投标文件，则认为其不再参与本项目采购活动。</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22.2投标文件的修改</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投标人可在</w:t>
      </w:r>
      <w:r>
        <w:rPr>
          <w:rFonts w:hint="eastAsia" w:ascii="宋体" w:hAnsi="宋体" w:eastAsia="宋体" w:cs="宋体"/>
          <w:bCs/>
          <w:color w:val="auto"/>
          <w:sz w:val="24"/>
          <w:szCs w:val="21"/>
          <w:highlight w:val="none"/>
        </w:rPr>
        <w:t xml:space="preserve">提交投标文件</w:t>
      </w:r>
      <w:r>
        <w:rPr>
          <w:rFonts w:hint="eastAsia" w:ascii="宋体" w:hAnsi="宋体" w:eastAsia="宋体" w:cs="宋体"/>
          <w:color w:val="auto"/>
          <w:sz w:val="24"/>
          <w:szCs w:val="21"/>
          <w:highlight w:val="none"/>
        </w:rPr>
        <w:t xml:space="preserve">截止时间前，对其电子投标文件进行修改，具体操作方法见《操作手册》。</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22.3</w:t>
      </w:r>
      <w:r>
        <w:rPr>
          <w:rFonts w:hint="eastAsia" w:ascii="宋体" w:hAnsi="宋体" w:eastAsia="宋体" w:cs="宋体"/>
          <w:bCs/>
          <w:color w:val="auto"/>
          <w:sz w:val="24"/>
          <w:szCs w:val="21"/>
          <w:highlight w:val="none"/>
        </w:rPr>
        <w:t xml:space="preserve"> 在提交投标文件截止时间之后，投标人不得对其电子投标文件作任何修改。</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22.4</w:t>
      </w:r>
      <w:r>
        <w:rPr>
          <w:rFonts w:hint="eastAsia" w:ascii="宋体" w:hAnsi="宋体" w:eastAsia="宋体" w:cs="宋体"/>
          <w:bCs/>
          <w:color w:val="auto"/>
          <w:sz w:val="24"/>
          <w:szCs w:val="21"/>
          <w:highlight w:val="none"/>
        </w:rPr>
        <w:t xml:space="preserve"> 在提交投标文件截止时间至招标文件中规定的投标有效期满之间的这段时间内，投标人不得撤回其投标文件。</w:t>
      </w:r>
      <w:r/>
    </w:p>
    <w:p>
      <w:pPr>
        <w:jc w:val="center"/>
        <w:keepLines/>
        <w:keepNext/>
        <w:spacing w:line="360" w:lineRule="auto"/>
        <w:rPr>
          <w:rFonts w:hint="eastAsia" w:ascii="宋体" w:hAnsi="宋体" w:eastAsia="宋体" w:cs="宋体"/>
          <w:b/>
          <w:bCs/>
          <w:color w:val="auto"/>
          <w:sz w:val="32"/>
          <w:szCs w:val="32"/>
          <w:highlight w:val="none"/>
        </w:rPr>
        <w:outlineLvl w:val="2"/>
      </w:pPr>
      <w:r/>
      <w:bookmarkStart w:id="180" w:name="_Toc16938545"/>
      <w:r/>
      <w:bookmarkStart w:id="181" w:name="_Toc513029229"/>
      <w:r/>
      <w:bookmarkStart w:id="182" w:name="_Toc20823301"/>
      <w:r/>
      <w:bookmarkStart w:id="183" w:name="_Toc120614218"/>
      <w:r>
        <w:rPr>
          <w:rFonts w:hint="eastAsia" w:ascii="宋体" w:hAnsi="宋体" w:eastAsia="宋体" w:cs="宋体"/>
          <w:b/>
          <w:bCs/>
          <w:color w:val="auto"/>
          <w:sz w:val="30"/>
          <w:szCs w:val="30"/>
          <w:highlight w:val="none"/>
        </w:rPr>
        <w:t xml:space="preserve">五、</w:t>
      </w:r>
      <w:bookmarkEnd w:id="180"/>
      <w:r/>
      <w:bookmarkEnd w:id="181"/>
      <w:r/>
      <w:bookmarkEnd w:id="182"/>
      <w:r/>
      <w:bookmarkEnd w:id="183"/>
      <w:r>
        <w:rPr>
          <w:rFonts w:hint="eastAsia" w:ascii="宋体" w:hAnsi="宋体" w:eastAsia="宋体" w:cs="宋体"/>
          <w:b/>
          <w:bCs/>
          <w:color w:val="auto"/>
          <w:sz w:val="30"/>
          <w:szCs w:val="30"/>
          <w:highlight w:val="none"/>
        </w:rPr>
        <w:t xml:space="preserve">开标与评标</w:t>
      </w:r>
      <w:r/>
    </w:p>
    <w:p>
      <w:pPr>
        <w:keepLines/>
        <w:keepNext/>
        <w:spacing w:line="360" w:lineRule="auto"/>
        <w:rPr>
          <w:rFonts w:hint="eastAsia" w:ascii="宋体" w:hAnsi="宋体" w:eastAsia="宋体" w:cs="宋体"/>
          <w:b/>
          <w:bCs/>
          <w:color w:val="auto"/>
          <w:sz w:val="28"/>
          <w:szCs w:val="28"/>
          <w:highlight w:val="none"/>
        </w:rPr>
        <w:outlineLvl w:val="3"/>
      </w:pPr>
      <w:r/>
      <w:bookmarkStart w:id="184" w:name="_Toc20823302"/>
      <w:r/>
      <w:bookmarkStart w:id="185" w:name="_Toc513029230"/>
      <w:r/>
      <w:bookmarkStart w:id="186" w:name="_Toc16938546"/>
      <w:r>
        <w:rPr>
          <w:rFonts w:hint="eastAsia" w:ascii="宋体" w:hAnsi="宋体" w:eastAsia="宋体" w:cs="宋体"/>
          <w:b/>
          <w:bCs/>
          <w:color w:val="auto"/>
          <w:sz w:val="28"/>
          <w:szCs w:val="28"/>
          <w:highlight w:val="none"/>
        </w:rPr>
        <w:t xml:space="preserve">23、</w:t>
      </w:r>
      <w:bookmarkEnd w:id="184"/>
      <w:r/>
      <w:bookmarkEnd w:id="185"/>
      <w:r/>
      <w:bookmarkEnd w:id="186"/>
      <w:r>
        <w:rPr>
          <w:rFonts w:hint="eastAsia" w:ascii="宋体" w:hAnsi="宋体" w:eastAsia="宋体" w:cs="宋体"/>
          <w:b/>
          <w:bCs/>
          <w:color w:val="auto"/>
          <w:sz w:val="28"/>
          <w:szCs w:val="28"/>
          <w:highlight w:val="none"/>
        </w:rPr>
        <w:t xml:space="preserve">开标</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23.1采购代理机构将在招标公告中规定的时间和地点组织公开开标。投标人应当按照《操作手册》规定，参加开标活动和在苏采云系统规定的时间内对投标文件进行解密。</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23.2开标仪式由采购代理机构组织。苏采云系统将自动对项目进行开标，并宣布各投标人名称和投标价格。</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23.3投标人在开标过程中涉及到的投标文件解密、开标结果确认等工作，应按照《操作手册》规定执行。</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szCs w:val="21"/>
          <w:highlight w:val="none"/>
        </w:rPr>
        <w:t xml:space="preserve">23.4投标人如果对开标过程和开标记录有疑义，应当根据《操作手册》规定提出，如苏采云系统中《开标记录表》宣布后5分钟内未提出的，视同认可开标结果</w:t>
      </w:r>
      <w:r>
        <w:rPr>
          <w:rFonts w:hint="eastAsia" w:ascii="宋体" w:hAnsi="宋体" w:eastAsia="宋体" w:cs="宋体"/>
          <w:color w:val="auto"/>
          <w:sz w:val="24"/>
          <w:highlight w:val="none"/>
        </w:rPr>
        <w:t xml:space="preserve">。</w:t>
      </w:r>
      <w:r/>
    </w:p>
    <w:p>
      <w:pPr>
        <w:keepLines/>
        <w:keepNext/>
        <w:spacing w:line="360" w:lineRule="auto"/>
        <w:rPr>
          <w:rFonts w:hint="eastAsia" w:ascii="宋体" w:hAnsi="宋体" w:eastAsia="宋体" w:cs="宋体"/>
          <w:b/>
          <w:bCs/>
          <w:color w:val="auto"/>
          <w:sz w:val="28"/>
          <w:szCs w:val="28"/>
          <w:highlight w:val="none"/>
        </w:rPr>
        <w:outlineLvl w:val="3"/>
      </w:pPr>
      <w:r/>
      <w:bookmarkStart w:id="187" w:name="_Toc20823303"/>
      <w:r/>
      <w:bookmarkStart w:id="188" w:name="_Toc513029231"/>
      <w:r/>
      <w:bookmarkStart w:id="189" w:name="_Toc16938547"/>
      <w:r>
        <w:rPr>
          <w:rFonts w:hint="eastAsia" w:ascii="宋体" w:hAnsi="宋体" w:eastAsia="宋体" w:cs="宋体"/>
          <w:b/>
          <w:bCs/>
          <w:color w:val="auto"/>
          <w:sz w:val="28"/>
          <w:szCs w:val="28"/>
          <w:highlight w:val="none"/>
        </w:rPr>
        <w:t xml:space="preserve">24、评标委员会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 开标后，采购代理机构将立即组织评标委员会(以下简称评委会)进行评标。</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 评委会由采购人代表和有关技术、经济等方面的专家组成，且人员构成符合政府采购有关规定。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24.3评委会独立工作，负责评审所有投标文件并确定中标侯选人。</w:t>
      </w:r>
      <w:r/>
    </w:p>
    <w:p>
      <w:pPr>
        <w:keepLines/>
        <w:keepNext/>
        <w:spacing w:line="360" w:lineRule="auto"/>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28"/>
          <w:szCs w:val="28"/>
          <w:highlight w:val="none"/>
        </w:rPr>
        <w:t xml:space="preserve">25、评标过程的保密与公正</w:t>
      </w:r>
      <w:bookmarkEnd w:id="187"/>
      <w:r/>
      <w:bookmarkEnd w:id="188"/>
      <w:r/>
      <w:bookmarkEnd w:id="189"/>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25.1凡是与审查、澄清、评价和比较投标的有关资料以及授标建议等，采购人、评委、采购代理机构均不得向投标人或与评标无关的其他人员透露。</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25.2在评标过程中，投标人不得以任何行为影响评标过程，否则其投标文件将被作为无效投标文件。</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25.3 采购代理机构和评标委员会不向未中标的投标人解释未中标原因，也不公布评标过程中的相关细节。</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25.4 采用综合评分法的项目，未中标的投标人可于中标结果公告期限届满之日起通过苏采云系统查看自己的评审得分及排序情况</w:t>
      </w:r>
      <w:r>
        <w:rPr>
          <w:rFonts w:hint="eastAsia" w:ascii="宋体" w:hAnsi="宋体" w:eastAsia="宋体" w:cs="宋体"/>
          <w:color w:val="auto"/>
          <w:sz w:val="24"/>
          <w:highlight w:val="none"/>
        </w:rPr>
        <w:t xml:space="preserve">。</w:t>
      </w:r>
      <w:r/>
    </w:p>
    <w:p>
      <w:pPr>
        <w:keepLines/>
        <w:keepNext/>
        <w:spacing w:line="360" w:lineRule="auto"/>
        <w:rPr>
          <w:rFonts w:hint="eastAsia" w:ascii="宋体" w:hAnsi="宋体" w:eastAsia="宋体" w:cs="宋体"/>
          <w:b/>
          <w:bCs/>
          <w:color w:val="auto"/>
          <w:sz w:val="28"/>
          <w:szCs w:val="28"/>
          <w:highlight w:val="none"/>
        </w:rPr>
        <w:outlineLvl w:val="3"/>
      </w:pPr>
      <w:r/>
      <w:bookmarkStart w:id="190" w:name="_Toc20823304"/>
      <w:r/>
      <w:bookmarkStart w:id="191" w:name="_Toc513029232"/>
      <w:r/>
      <w:bookmarkStart w:id="192" w:name="_Toc16938548"/>
      <w:r>
        <w:rPr>
          <w:rFonts w:hint="eastAsia" w:ascii="宋体" w:hAnsi="宋体" w:eastAsia="宋体" w:cs="宋体"/>
          <w:b/>
          <w:bCs/>
          <w:color w:val="auto"/>
          <w:sz w:val="28"/>
          <w:szCs w:val="28"/>
          <w:highlight w:val="none"/>
        </w:rPr>
        <w:t xml:space="preserve">26、</w:t>
      </w:r>
      <w:bookmarkEnd w:id="190"/>
      <w:r/>
      <w:bookmarkEnd w:id="191"/>
      <w:r/>
      <w:bookmarkEnd w:id="192"/>
      <w:r>
        <w:rPr>
          <w:rFonts w:hint="eastAsia" w:ascii="宋体" w:hAnsi="宋体" w:eastAsia="宋体" w:cs="宋体"/>
          <w:b/>
          <w:bCs/>
          <w:color w:val="auto"/>
          <w:sz w:val="28"/>
          <w:szCs w:val="28"/>
          <w:highlight w:val="none"/>
        </w:rPr>
        <w:t xml:space="preserve">投标文件的澄清</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26.1评标期间，评委会对投标文件中含义不明确、同类问题表述不一致或者有明显文字和计算错误的内容 ，有权要求投标人作出必要的澄清、说明或者补正。</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投标人的澄清、说明或者补正不得超出投标文件的范围或者改变投标文件的实质性内容。</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评标委员会并非对每个投标人都做澄清要求。</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26.3 接到评委会澄清、说明和补正要求的投标人如未按规定做出澄清、说明和补正，其风险由投标人自行承担。</w:t>
      </w:r>
      <w:r/>
    </w:p>
    <w:p>
      <w:pPr>
        <w:keepLines/>
        <w:keepNext/>
        <w:spacing w:line="360" w:lineRule="auto"/>
        <w:rPr>
          <w:rFonts w:hint="eastAsia" w:ascii="宋体" w:hAnsi="宋体" w:eastAsia="宋体" w:cs="宋体"/>
          <w:b/>
          <w:bCs/>
          <w:color w:val="auto"/>
          <w:sz w:val="28"/>
          <w:szCs w:val="28"/>
          <w:highlight w:val="none"/>
        </w:rPr>
        <w:outlineLvl w:val="3"/>
      </w:pPr>
      <w:r/>
      <w:bookmarkStart w:id="193" w:name="_Toc513029233"/>
      <w:r/>
      <w:bookmarkStart w:id="194" w:name="_Toc16938549"/>
      <w:r/>
      <w:bookmarkStart w:id="195" w:name="_Toc20823305"/>
      <w:r>
        <w:rPr>
          <w:rFonts w:hint="eastAsia" w:ascii="宋体" w:hAnsi="宋体" w:eastAsia="宋体" w:cs="宋体"/>
          <w:b/>
          <w:bCs/>
          <w:color w:val="auto"/>
          <w:sz w:val="28"/>
          <w:szCs w:val="28"/>
          <w:highlight w:val="none"/>
        </w:rPr>
        <w:t xml:space="preserve">27、</w:t>
      </w:r>
      <w:bookmarkEnd w:id="193"/>
      <w:r/>
      <w:bookmarkEnd w:id="194"/>
      <w:r/>
      <w:bookmarkEnd w:id="195"/>
      <w:r>
        <w:rPr>
          <w:rFonts w:hint="eastAsia" w:ascii="宋体" w:hAnsi="宋体" w:eastAsia="宋体" w:cs="宋体"/>
          <w:b/>
          <w:bCs/>
          <w:color w:val="auto"/>
          <w:sz w:val="28"/>
          <w:szCs w:val="28"/>
          <w:highlight w:val="none"/>
        </w:rPr>
        <w:t xml:space="preserve">对投标文件的初审</w:t>
      </w:r>
      <w:r/>
    </w:p>
    <w:p>
      <w:pPr>
        <w:spacing w:line="360" w:lineRule="auto"/>
        <w:rPr>
          <w:rFonts w:hint="eastAsia" w:ascii="宋体" w:hAnsi="宋体" w:eastAsia="宋体" w:cs="宋体"/>
          <w:color w:val="auto"/>
          <w:sz w:val="24"/>
          <w:szCs w:val="21"/>
          <w:highlight w:val="none"/>
        </w:rPr>
      </w:pPr>
      <w:r/>
      <w:bookmarkStart w:id="196" w:name="_Toc16938550"/>
      <w:r/>
      <w:bookmarkStart w:id="197" w:name="_Toc20823306"/>
      <w:r/>
      <w:bookmarkStart w:id="198" w:name="_Toc513029234"/>
      <w:r>
        <w:rPr>
          <w:rFonts w:hint="eastAsia" w:ascii="宋体" w:hAnsi="宋体" w:eastAsia="宋体" w:cs="宋体"/>
          <w:color w:val="auto"/>
          <w:sz w:val="24"/>
          <w:szCs w:val="21"/>
          <w:highlight w:val="none"/>
        </w:rPr>
        <w:t xml:space="preserve">27.1投标文件初审分为资格审查和符合性审查。</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27.1.1 资格审查:依据法律法规和招标文件的规定，由采购人对投标文件中的资格证明文件进行审查。资格审查的结论，采购人以书面形式向评委会进行反馈。</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采购人在进行资格性审查的同时，将在“信用中国”网站或“中国政府采购网”网站查询投标人的信用记录，以确定投标人是否具备投标资格,查询结果留存并归档。</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27.1.2 符合性审查:依据招标文件的规定，由评委会从投标文件的有效性、完整性和对招标文件的响应程度进行审查，以确定是否对招标文件的实质性要求作出响应。</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27.1.3 未通过资格审查或符合性审查的投标人，采购代理机构将在苏采云系统中告知未通过资格审查或符合性审查的原因，评审结束后，采购代理机构将不再告知未通过资格审查或符合性审查的原因。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27.2在详细评标之前，评委会将首先审查每份投标文件是否实质性响应了招标文件的要求。实质性响应的投标应该是与招标文件要求的全部条款、条件和规格相符，没有重大偏离或保留的投标。</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27.3如果投标文件实质上没有响应招标文件的要求，评委会将予以拒绝，投标人不得通过修改或撤销不合要求的偏离或保留而使其投标成为实质性响应的投标。</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27.4评委会将对确定为实质性响应的投标进行进一步审核，看其是否有计算上或累加上的算术错误，修正错误的原则如下:</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(1)投标文件中开标一览表内容与投标文件中相应内容不一致的，以开标一览表为准。</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(2)大写金额和小写金额不一致的，以大写金额为准。</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(3)单价金额小数点或者百分比有明显错位的，以开标一览表的总价为准，并修改单价。</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(4)总价金额与按单价汇总金额不一致的，以单价金额计算结果为准。</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同时出现两种以上错误的，按照前款规定的顺序修正。</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27.5评委会将按上述修正错误的方法调整投标文件中的投标报价，并通过苏采云系统告知投标人，调整后的价格应对投标人具有约束力。如果投标人不接受修正后的价格，则其投标将被拒绝。</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单位推荐资格；评审得分相同的，由评标委员会根据招标文件规定的方式(招标文件未规定的采取随机抽取的方式)确定一个中标候选人，其他同品牌投标人不作为中标候选人。</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非单一产品采购项目，招标文件中将载明其中的核心产品。多家投标人提供的核心产品品牌相同的，按前两款规定处理。</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27.7投标人在开、评标全过程中应保持通讯畅通，及时登录苏采云系统查阅、答复相关信息，并安排专人与采购代理机构及评标委员会联系。</w:t>
      </w:r>
      <w:r/>
    </w:p>
    <w:p>
      <w:pPr>
        <w:keepLines/>
        <w:keepNext/>
        <w:spacing w:line="360" w:lineRule="auto"/>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28"/>
          <w:szCs w:val="28"/>
          <w:highlight w:val="none"/>
        </w:rPr>
        <w:t xml:space="preserve">28、</w:t>
      </w:r>
      <w:bookmarkEnd w:id="196"/>
      <w:r/>
      <w:bookmarkEnd w:id="197"/>
      <w:r/>
      <w:bookmarkEnd w:id="198"/>
      <w:r>
        <w:rPr>
          <w:rFonts w:hint="eastAsia" w:ascii="宋体" w:hAnsi="宋体" w:eastAsia="宋体" w:cs="宋体"/>
          <w:b/>
          <w:bCs/>
          <w:color w:val="auto"/>
          <w:sz w:val="28"/>
          <w:szCs w:val="28"/>
          <w:highlight w:val="none"/>
        </w:rPr>
        <w:t xml:space="preserve">无效投标条款和废标条款</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28.1无效投标条款</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28.1.1 投标人在苏采云系统规定的时间内未成功解密电子投标文件的。</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28.1.2 投标人未按照招标文件要求上传电子投标文件的。</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28.1.3同一投标人提交两个(含两个)以上不同的投标报价的。</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28.1.4投标人不具备招标文件中规定资格要求的。</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28.1.5投标人的报价超过了采购预算或最高限价的。</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28.1.6未通过符合性审查的。</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28.1.7不符合招标文件中规定的实质性要求和条件的。</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28.1.8 投标人被“信用中国”网站或“中国政府采购网”网站列入失信被执行人或重大税收违法案件当事人名单或政府采购严重失信行为记录名单。或查询“信用中国”网站或“中国政府采购网”后发现投标人存在其他不符合《中华人民共和国政府采购法》第二十二条规定条件的信用记录。</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28.1.9  投标文件含有采购人不能接受的附加条件的。</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28.1.12 投标文件未按照招标文件要求加盖CA电子公章的。</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28.1.13其他法律、法规及本招标文件规定的属无效投标的情形。</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28.2废标条款</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28.2.1符合专业条件的供应商或者对招标文件作实质响应的供应商不足三家的。</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28.2.2出现影响采购公正的违法、违规行为的。</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28.2.3因重大变故，采购任务取消的。</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28.2.4评标委员会认定招标文件存在歧义、重大缺陷导致评审工作无法进行。</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28.2.5 因苏采云系统系统故障原因造成开标不成功的。</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 投标截止时间结束后参加投标的供应商不足三家的处理:</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28.3.1如出现投标截止时间结束后参加投标的供应商或者在评标期间对招标文件做出实质响应的供应商不足三家情况，按政府采购相关规定执行。</w:t>
      </w:r>
      <w:r/>
    </w:p>
    <w:p>
      <w:pPr>
        <w:jc w:val="center"/>
        <w:keepLines/>
        <w:keepNext/>
        <w:spacing w:line="360" w:lineRule="auto"/>
        <w:rPr>
          <w:rFonts w:hint="eastAsia" w:ascii="宋体" w:hAnsi="宋体" w:eastAsia="宋体" w:cs="宋体"/>
          <w:b/>
          <w:bCs/>
          <w:color w:val="auto"/>
          <w:sz w:val="32"/>
          <w:szCs w:val="32"/>
          <w:highlight w:val="none"/>
        </w:rPr>
        <w:outlineLvl w:val="2"/>
      </w:pPr>
      <w:r/>
      <w:bookmarkStart w:id="199" w:name="_Toc513029235"/>
      <w:r/>
      <w:bookmarkStart w:id="200" w:name="_Toc120614219"/>
      <w:r/>
      <w:bookmarkStart w:id="201" w:name="_Toc20823307"/>
      <w:r/>
      <w:bookmarkStart w:id="202" w:name="_Toc16938551"/>
      <w:r>
        <w:rPr>
          <w:rFonts w:hint="eastAsia" w:ascii="宋体" w:hAnsi="宋体" w:eastAsia="宋体" w:cs="宋体"/>
          <w:b/>
          <w:bCs/>
          <w:color w:val="auto"/>
          <w:sz w:val="30"/>
          <w:szCs w:val="30"/>
          <w:highlight w:val="none"/>
        </w:rPr>
        <w:t xml:space="preserve">六、</w:t>
      </w:r>
      <w:bookmarkEnd w:id="199"/>
      <w:r/>
      <w:bookmarkEnd w:id="200"/>
      <w:r/>
      <w:bookmarkEnd w:id="201"/>
      <w:r/>
      <w:bookmarkEnd w:id="202"/>
      <w:r>
        <w:rPr>
          <w:rFonts w:hint="eastAsia" w:ascii="宋体" w:hAnsi="宋体" w:eastAsia="宋体" w:cs="宋体"/>
          <w:b/>
          <w:bCs/>
          <w:color w:val="auto"/>
          <w:sz w:val="30"/>
          <w:szCs w:val="30"/>
          <w:highlight w:val="none"/>
        </w:rPr>
        <w:t xml:space="preserve">定标</w:t>
      </w:r>
      <w:r/>
    </w:p>
    <w:p>
      <w:pPr>
        <w:keepLines/>
        <w:keepNext/>
        <w:spacing w:line="360" w:lineRule="auto"/>
        <w:rPr>
          <w:rFonts w:hint="eastAsia" w:ascii="宋体" w:hAnsi="宋体" w:eastAsia="宋体" w:cs="宋体"/>
          <w:b/>
          <w:color w:val="auto"/>
          <w:sz w:val="28"/>
          <w:szCs w:val="28"/>
          <w:highlight w:val="none"/>
        </w:rPr>
        <w:outlineLvl w:val="3"/>
      </w:pPr>
      <w:r/>
      <w:bookmarkStart w:id="203" w:name="_Toc513029238"/>
      <w:r/>
      <w:bookmarkStart w:id="204" w:name="_Toc20823310"/>
      <w:r/>
      <w:bookmarkStart w:id="205" w:name="_Toc16938554"/>
      <w:r>
        <w:rPr>
          <w:rFonts w:hint="eastAsia" w:ascii="宋体" w:hAnsi="宋体" w:eastAsia="宋体" w:cs="宋体"/>
          <w:b/>
          <w:color w:val="auto"/>
          <w:sz w:val="28"/>
          <w:szCs w:val="28"/>
          <w:highlight w:val="none"/>
        </w:rPr>
        <w:t xml:space="preserve">29、</w:t>
      </w:r>
      <w:bookmarkEnd w:id="203"/>
      <w:r>
        <w:rPr>
          <w:rFonts w:hint="eastAsia" w:ascii="宋体" w:hAnsi="宋体" w:eastAsia="宋体" w:cs="宋体"/>
          <w:b/>
          <w:color w:val="auto"/>
          <w:sz w:val="28"/>
          <w:szCs w:val="28"/>
          <w:highlight w:val="none"/>
        </w:rPr>
        <w:t xml:space="preserve">确定</w:t>
      </w:r>
      <w:bookmarkEnd w:id="204"/>
      <w:r/>
      <w:bookmarkEnd w:id="205"/>
      <w:r>
        <w:rPr>
          <w:rFonts w:hint="eastAsia" w:ascii="宋体" w:hAnsi="宋体" w:eastAsia="宋体" w:cs="宋体"/>
          <w:b/>
          <w:color w:val="auto"/>
          <w:sz w:val="28"/>
          <w:szCs w:val="28"/>
          <w:highlight w:val="none"/>
        </w:rPr>
        <w:t xml:space="preserve">中标单位</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29.1中标候选人的选取原则和数量见招标文件第四章规定。 </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29.2 采购人应根据评委会推荐的中标候选人</w:t>
      </w:r>
      <w:r>
        <w:rPr>
          <w:rFonts w:hint="eastAsia" w:ascii="宋体" w:hAnsi="宋体" w:eastAsia="宋体" w:cs="宋体"/>
          <w:bCs/>
          <w:color w:val="auto"/>
          <w:sz w:val="24"/>
          <w:szCs w:val="21"/>
          <w:highlight w:val="none"/>
          <w:lang w:val="en-US" w:eastAsia="zh-CN"/>
        </w:rPr>
        <w:t xml:space="preserve">排序</w:t>
      </w:r>
      <w:r>
        <w:rPr>
          <w:rFonts w:hint="eastAsia" w:ascii="宋体" w:hAnsi="宋体" w:eastAsia="宋体" w:cs="宋体"/>
          <w:bCs/>
          <w:color w:val="auto"/>
          <w:sz w:val="24"/>
          <w:szCs w:val="21"/>
          <w:highlight w:val="none"/>
        </w:rPr>
        <w:t xml:space="preserve">确定中标单位。</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29.3 采购代理机构将在“常州市政府采购网”发布中标公告，公告期限为1个工作日。</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29.4  若有充分证据证明，中标单位出现下列情况之一的，一经查实，将被取消中标资格:</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29.4.1提供虚假材料谋取中标的。</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29.4.2向采购人、采购代理机构行贿或者提供其他不正当利益的。</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29.4.3属于本文件规定的无效条件，但在评标过程中又未被评委会发现的。</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29.4.4与采购人或者其他供应商恶意串通的。</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29.4.5采取不正当手段诋毁、排挤其他供应商的。</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29.5. 有下列情形之一的，视为投标人串通投标，投标无效:</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29.5.1不同投标人的投标文件由同一单位或者个人编制；</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29.5.2不同投标人委托同一单位或者个人办理投标事宜；</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29.5.3 不同投标人的投标文件载明的项目管理成员或者联系人员为同一人；</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29.5.4不同投标人的投标文件异常一致或者投标报价呈规律性差异。</w:t>
      </w:r>
      <w:r/>
    </w:p>
    <w:p>
      <w:pPr>
        <w:keepLines/>
        <w:keepNext/>
        <w:spacing w:line="360" w:lineRule="auto"/>
        <w:rPr>
          <w:rFonts w:hint="eastAsia" w:ascii="宋体" w:hAnsi="宋体" w:eastAsia="宋体" w:cs="宋体"/>
          <w:b/>
          <w:color w:val="auto"/>
          <w:sz w:val="28"/>
          <w:szCs w:val="28"/>
          <w:highlight w:val="none"/>
        </w:rPr>
        <w:outlineLvl w:val="3"/>
      </w:pPr>
      <w:r/>
      <w:bookmarkStart w:id="206" w:name="_Toc200451960"/>
      <w:r>
        <w:rPr>
          <w:rFonts w:hint="eastAsia" w:ascii="宋体" w:hAnsi="宋体" w:eastAsia="宋体" w:cs="宋体"/>
          <w:b/>
          <w:color w:val="auto"/>
          <w:sz w:val="28"/>
          <w:szCs w:val="28"/>
          <w:highlight w:val="none"/>
        </w:rPr>
        <w:t xml:space="preserve">30、质疑处理</w:t>
      </w:r>
      <w:bookmarkEnd w:id="206"/>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30.1 提出质疑的投标人应当是参与所质疑项目采购活动的投标人。潜在投标人依法获取其可质疑的招标文件的，可以对招标文件提出质疑。</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30.2投标人认为招标文件、采购过程和采购结果使自己的权益受到损害的，可以在知道或应知其权益受到损害之日起七个工作日内，以书面形式根据下述30.4条款的规定向采购代理机构或采购人提出质疑。</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30.2.1</w:t>
      </w:r>
      <w:r>
        <w:rPr>
          <w:rFonts w:hint="eastAsia" w:ascii="宋体" w:hAnsi="宋体" w:eastAsia="宋体" w:cs="宋体"/>
          <w:color w:val="auto"/>
          <w:sz w:val="24"/>
          <w:highlight w:val="none"/>
        </w:rPr>
        <w:t xml:space="preserve">对可以质疑的招标文件提出质疑的，为收到招标文件之日或者招标文件公告期限届满之日。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30.2.2</w:t>
      </w:r>
      <w:r>
        <w:rPr>
          <w:rFonts w:hint="eastAsia" w:ascii="宋体" w:hAnsi="宋体" w:eastAsia="宋体" w:cs="宋体"/>
          <w:color w:val="auto"/>
          <w:sz w:val="24"/>
          <w:highlight w:val="none"/>
        </w:rPr>
        <w:t xml:space="preserve">对采购过程提出质疑的，为各采购程序环节结束之日。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30.2.3</w:t>
      </w:r>
      <w:r>
        <w:rPr>
          <w:rFonts w:hint="eastAsia" w:ascii="宋体" w:hAnsi="宋体" w:eastAsia="宋体" w:cs="宋体"/>
          <w:color w:val="auto"/>
          <w:sz w:val="24"/>
          <w:highlight w:val="none"/>
        </w:rPr>
        <w:t xml:space="preserve">对中标结果提出质疑的，为中标结果公告期限届满之日。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30.3质疑函必须按照财政部《质疑函范本》要求的格式和内容进行填写。投标人如组成联合体参加投标，则《质疑函范本》中要求签字、盖章、加盖公章之处，联合体各方均须按要求签字、盖章、加盖公章。</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30.4 投标人(含潜在投标人)对采购方式、采购需求、投标人资格条件、评标方法与评标标准、合同文本的询问、质疑请向采购人提出，由采购人负责答复。投标人对其他事项的询问、质疑请向采购代理机构提出，由采购代理机构负责答复。</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采购人及采购代理机构只接收以纸质原件形式送达的质疑,建议投标人尽量通过现场递交或邮寄方式提交质疑(采购人和采购代理机构不接受未填写快递运单的快件)。</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采购代理机构质疑接收部门为:项目咨询部</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联系地址:江苏省常州市天宁区锦绣路锦绣东苑29幢4楼401号(常州市政务服务中心对面)；</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联系电话:0519-85958666；</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 以下情形的质疑不予受理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30.5.1 内容不符合《政府采购质疑和投诉办法》第十二条规定的质疑。</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30.5.2 超出政府采购法定期限的质疑。</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30.5.3 以传真、电子邮件等方式递交的非原件形式的质疑。</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30.5.4 未参加投标活动的投标人或在投标活动中自身权益未受到损害的投标人所提出的质疑。</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30.5.5投标人组成联合体参加投标，联合体中任何一方或多方未按要求签字、盖章、加盖公章的质疑。</w:t>
      </w:r>
      <w:r/>
    </w:p>
    <w:p>
      <w:pPr>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keepLines/>
        <w:keepNext/>
        <w:spacing w:line="336" w:lineRule="auto"/>
        <w:rPr>
          <w:rFonts w:hint="eastAsia" w:ascii="宋体" w:hAnsi="宋体" w:eastAsia="宋体" w:cs="宋体"/>
          <w:b/>
          <w:color w:val="auto"/>
          <w:sz w:val="28"/>
          <w:szCs w:val="28"/>
          <w:highlight w:val="none"/>
        </w:rPr>
        <w:outlineLvl w:val="3"/>
      </w:pPr>
      <w:r>
        <w:rPr>
          <w:rFonts w:hint="eastAsia" w:ascii="宋体" w:hAnsi="宋体" w:eastAsia="宋体" w:cs="宋体"/>
          <w:b/>
          <w:color w:val="auto"/>
          <w:sz w:val="28"/>
          <w:szCs w:val="28"/>
          <w:highlight w:val="none"/>
        </w:rPr>
        <w:t xml:space="preserve">31、中标通知书</w:t>
      </w:r>
      <w:r/>
    </w:p>
    <w:p>
      <w:pPr>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中标结果确定后，采购代理机构将向中标单位发出中标通知书。请中标单位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单位自行承担。</w:t>
      </w:r>
      <w:r/>
    </w:p>
    <w:p>
      <w:pPr>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30.2中标通知书将是合同的一个组成部分。对采购人和中标单位均具有法律效力。中标通知书发出后，采购人改变中标结果的，或者中标单位放弃中标项目的，应当依法承担法律责任。</w:t>
      </w:r>
      <w:r/>
    </w:p>
    <w:p>
      <w:pPr>
        <w:jc w:val="center"/>
        <w:keepLines/>
        <w:keepNext/>
        <w:spacing w:line="336" w:lineRule="auto"/>
        <w:rPr>
          <w:rFonts w:hint="eastAsia" w:ascii="宋体" w:hAnsi="宋体" w:eastAsia="宋体" w:cs="宋体"/>
          <w:b/>
          <w:bCs/>
          <w:color w:val="auto"/>
          <w:sz w:val="32"/>
          <w:szCs w:val="32"/>
          <w:highlight w:val="none"/>
        </w:rPr>
        <w:outlineLvl w:val="2"/>
      </w:pPr>
      <w:r/>
      <w:bookmarkStart w:id="207" w:name="_Toc120614220"/>
      <w:r/>
      <w:bookmarkStart w:id="208" w:name="_Toc20823308"/>
      <w:r/>
      <w:bookmarkStart w:id="209" w:name="_Toc16938552"/>
      <w:r/>
      <w:bookmarkStart w:id="210" w:name="_Toc513029236"/>
      <w:r>
        <w:rPr>
          <w:rFonts w:hint="eastAsia" w:ascii="宋体" w:hAnsi="宋体" w:eastAsia="宋体" w:cs="宋体"/>
          <w:b/>
          <w:bCs/>
          <w:color w:val="auto"/>
          <w:sz w:val="30"/>
          <w:szCs w:val="30"/>
          <w:highlight w:val="none"/>
        </w:rPr>
        <w:t xml:space="preserve">七、授予合同</w:t>
      </w:r>
      <w:bookmarkEnd w:id="207"/>
      <w:r/>
      <w:bookmarkEnd w:id="208"/>
      <w:r/>
      <w:bookmarkEnd w:id="209"/>
      <w:r/>
      <w:bookmarkEnd w:id="210"/>
      <w:r/>
      <w:r/>
    </w:p>
    <w:p>
      <w:pPr>
        <w:keepLines/>
        <w:keepNext/>
        <w:spacing w:line="336" w:lineRule="auto"/>
        <w:rPr>
          <w:rFonts w:hint="eastAsia" w:ascii="宋体" w:hAnsi="宋体" w:eastAsia="宋体" w:cs="宋体"/>
          <w:b/>
          <w:color w:val="auto"/>
          <w:sz w:val="28"/>
          <w:szCs w:val="28"/>
          <w:highlight w:val="none"/>
        </w:rPr>
        <w:outlineLvl w:val="3"/>
      </w:pPr>
      <w:r>
        <w:rPr>
          <w:rFonts w:hint="eastAsia" w:ascii="宋体" w:hAnsi="宋体" w:eastAsia="宋体" w:cs="宋体"/>
          <w:b/>
          <w:color w:val="auto"/>
          <w:sz w:val="28"/>
          <w:szCs w:val="28"/>
          <w:highlight w:val="none"/>
        </w:rPr>
        <w:t xml:space="preserve">32、签订合同</w:t>
      </w:r>
      <w:r/>
    </w:p>
    <w:p>
      <w:pPr>
        <w:spacing w:line="336"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32.l中标单位应当在中标通知书发出之日起三十日内，按照招标文件确定的事项与采购人签订政府采购合同。</w:t>
      </w:r>
      <w:r/>
    </w:p>
    <w:p>
      <w:pPr>
        <w:spacing w:line="336"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32.2 招标文件、中标单位的投标文件及招标过程中有关澄清、承诺文件均应作为合同附件。</w:t>
      </w:r>
      <w:r/>
    </w:p>
    <w:p>
      <w:pPr>
        <w:spacing w:line="336"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32.3 签订合同后，中标单位不得将合同标的进行转包。未经采购人同意，中标单位也不得采用分包的形式履行合同，否则采购人有权终止合同。转包或分包造成采购人损失的，中标单位应承担相应赔偿责任</w:t>
      </w:r>
      <w:r>
        <w:rPr>
          <w:rFonts w:hint="eastAsia" w:ascii="宋体" w:hAnsi="宋体" w:eastAsia="宋体" w:cs="宋体"/>
          <w:color w:val="auto"/>
          <w:sz w:val="24"/>
          <w:highlight w:val="none"/>
        </w:rPr>
        <w:t xml:space="preserve">。</w:t>
      </w:r>
      <w:r/>
    </w:p>
    <w:p>
      <w:pPr>
        <w:keepLines/>
        <w:keepNext/>
        <w:spacing w:line="336" w:lineRule="auto"/>
        <w:rPr>
          <w:rFonts w:hint="eastAsia" w:ascii="宋体" w:hAnsi="宋体" w:eastAsia="宋体" w:cs="宋体"/>
          <w:b/>
          <w:color w:val="auto"/>
          <w:sz w:val="28"/>
          <w:szCs w:val="28"/>
          <w:highlight w:val="none"/>
        </w:rPr>
        <w:outlineLvl w:val="3"/>
      </w:pPr>
      <w:r>
        <w:rPr>
          <w:rFonts w:hint="eastAsia" w:ascii="宋体" w:hAnsi="宋体" w:eastAsia="宋体" w:cs="宋体"/>
          <w:b/>
          <w:color w:val="auto"/>
          <w:sz w:val="28"/>
          <w:szCs w:val="28"/>
          <w:highlight w:val="none"/>
        </w:rPr>
        <w:t xml:space="preserve">33、标的物的追加</w:t>
      </w:r>
      <w:r/>
    </w:p>
    <w:p>
      <w:pPr>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33.1政府采购合同履行中，采购人需追加与合同标的相同的货物、服务(包含与货物相关的服务及与服务相关的货物)的，在不改变合同其他条款的前提下，可以与中标单位协商签订补充合同，但所有补充合同的采购金额不超过原合同金额10%。</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
    </w:p>
    <w:p>
      <w:pPr>
        <w:jc w:val="center"/>
        <w:spacing w:line="360" w:lineRule="auto"/>
        <w:rPr>
          <w:rFonts w:hint="eastAsia" w:ascii="宋体" w:hAnsi="宋体" w:eastAsia="宋体" w:cs="宋体"/>
          <w:b/>
          <w:color w:val="auto"/>
          <w:sz w:val="36"/>
          <w:szCs w:val="36"/>
          <w:highlight w:val="none"/>
        </w:rPr>
        <w:outlineLvl w:val="0"/>
      </w:pPr>
      <w:r/>
      <w:bookmarkStart w:id="211" w:name="_Toc353873941"/>
      <w:r/>
      <w:bookmarkStart w:id="212" w:name="_Toc353825551"/>
      <w:r/>
      <w:bookmarkStart w:id="213" w:name="_Toc305158823"/>
      <w:r/>
      <w:bookmarkStart w:id="214" w:name="_Toc142311057"/>
      <w:r/>
      <w:bookmarkStart w:id="215" w:name="_Toc226965828"/>
      <w:r/>
      <w:bookmarkStart w:id="216" w:name="_Toc150480793"/>
      <w:r/>
      <w:bookmarkStart w:id="217" w:name="_Toc226337251"/>
      <w:r/>
      <w:bookmarkStart w:id="218" w:name="_Toc265228393"/>
      <w:r/>
      <w:bookmarkStart w:id="219" w:name="_Toc353873935"/>
      <w:r/>
      <w:bookmarkStart w:id="220" w:name="_Toc195842920"/>
      <w:r/>
      <w:bookmarkStart w:id="221" w:name="_Toc150774760"/>
      <w:r/>
      <w:bookmarkStart w:id="222" w:name="_Toc264969245"/>
      <w:r/>
      <w:bookmarkStart w:id="223" w:name="_Toc127151555"/>
      <w:r/>
      <w:bookmarkStart w:id="224" w:name="_Toc353873665"/>
      <w:r/>
      <w:bookmarkStart w:id="225" w:name="_Toc353825545"/>
      <w:r/>
      <w:bookmarkStart w:id="226" w:name="_Toc305158897"/>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第三章  </w:t>
      </w:r>
      <w:bookmarkStart w:id="227" w:name="_Toc99301421"/>
      <w:r>
        <w:rPr>
          <w:rFonts w:hint="eastAsia" w:ascii="宋体" w:hAnsi="宋体" w:eastAsia="宋体" w:cs="宋体"/>
          <w:b/>
          <w:color w:val="auto"/>
          <w:sz w:val="36"/>
          <w:szCs w:val="36"/>
          <w:highlight w:val="none"/>
        </w:rPr>
        <w:t xml:space="preserve"> 资格审查</w:t>
      </w:r>
      <w:bookmarkEnd w:id="227"/>
      <w:r/>
      <w:r/>
    </w:p>
    <w:p>
      <w:pPr>
        <w:pStyle w:val="971"/>
        <w:spacing w:before="0" w:line="360" w:lineRule="auto"/>
        <w:tabs>
          <w:tab w:val="center" w:pos="4592" w:leader="none"/>
          <w:tab w:val="left" w:pos="7860" w:leader="none"/>
        </w:tabs>
        <w:rPr>
          <w:rFonts w:hint="eastAsia" w:ascii="宋体" w:hAnsi="宋体" w:eastAsia="宋体" w:cs="宋体"/>
          <w:color w:val="auto"/>
          <w:sz w:val="32"/>
          <w:szCs w:val="32"/>
          <w:highlight w:val="none"/>
        </w:rPr>
      </w:pPr>
      <w:r/>
      <w:bookmarkStart w:id="228" w:name="_Toc99301422"/>
      <w:r>
        <w:rPr>
          <w:rFonts w:hint="eastAsia" w:ascii="宋体" w:hAnsi="宋体" w:eastAsia="宋体" w:cs="宋体"/>
          <w:color w:val="auto"/>
          <w:sz w:val="32"/>
          <w:szCs w:val="32"/>
          <w:highlight w:val="none"/>
        </w:rPr>
        <w:t xml:space="preserve">第一节 资格审查程序</w:t>
      </w:r>
      <w:bookmarkEnd w:id="228"/>
      <w:r/>
      <w:r/>
    </w:p>
    <w:p>
      <w:pPr>
        <w:ind w:firstLine="480"/>
        <w:spacing w:line="360" w:lineRule="auto"/>
        <w:tabs>
          <w:tab w:val="left" w:pos="426" w:leader="none"/>
          <w:tab w:val="left" w:pos="851"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一、</w:t>
      </w:r>
      <w:r>
        <w:rPr>
          <w:rFonts w:hint="eastAsia" w:ascii="宋体" w:hAnsi="宋体" w:eastAsia="宋体" w:cs="宋体"/>
          <w:color w:val="auto"/>
          <w:sz w:val="24"/>
          <w:highlight w:val="none"/>
        </w:rPr>
        <w:t xml:space="preserve">投标文件开启后，采购人代表将根据《资格审查要求》中的规定，对投标人进行资格审查，并形成资格审查结果。</w:t>
      </w:r>
      <w:r/>
    </w:p>
    <w:p>
      <w:pPr>
        <w:ind w:firstLine="480"/>
        <w:spacing w:line="360" w:lineRule="auto"/>
        <w:tabs>
          <w:tab w:val="left" w:pos="426" w:leader="none"/>
          <w:tab w:val="left" w:pos="851"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二、</w:t>
      </w:r>
      <w:r>
        <w:rPr>
          <w:rFonts w:hint="eastAsia" w:ascii="宋体" w:hAnsi="宋体" w:eastAsia="宋体" w:cs="宋体"/>
          <w:color w:val="auto"/>
          <w:sz w:val="24"/>
          <w:highlight w:val="none"/>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三、</w:t>
      </w:r>
      <w:r>
        <w:rPr>
          <w:rFonts w:hint="eastAsia" w:ascii="宋体" w:hAnsi="宋体" w:eastAsia="宋体" w:cs="宋体"/>
          <w:color w:val="auto"/>
          <w:sz w:val="24"/>
          <w:highlight w:val="none"/>
        </w:rPr>
        <w:t xml:space="preserve">投标人《资格证明文件》有任何一项不符合《资格审查要求》的，资格审查不合格，其响应无效。</w:t>
      </w:r>
      <w:r/>
    </w:p>
    <w:p>
      <w:pPr>
        <w:ind w:firstLine="480"/>
        <w:spacing w:line="360" w:lineRule="auto"/>
        <w:tabs>
          <w:tab w:val="left" w:pos="426" w:leader="none"/>
          <w:tab w:val="left" w:pos="851"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四、</w:t>
      </w:r>
      <w:r>
        <w:rPr>
          <w:rFonts w:hint="eastAsia" w:ascii="宋体" w:hAnsi="宋体" w:eastAsia="宋体" w:cs="宋体"/>
          <w:color w:val="auto"/>
          <w:sz w:val="24"/>
          <w:highlight w:val="none"/>
        </w:rPr>
        <w:t xml:space="preserve">资格审查合格的投标人不足3家的，不进行评审。</w:t>
      </w:r>
      <w:r/>
    </w:p>
    <w:p>
      <w:pPr>
        <w:pStyle w:val="971"/>
        <w:spacing w:before="0" w:line="360" w:lineRule="auto"/>
        <w:tabs>
          <w:tab w:val="center" w:pos="4592" w:leader="none"/>
          <w:tab w:val="left" w:pos="7860" w:leader="none"/>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第二节 资格审查要求</w:t>
      </w:r>
      <w:r/>
    </w:p>
    <w:tbl>
      <w:tblPr>
        <w:tblStyle w:val="98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309"/>
        <w:gridCol w:w="5198"/>
        <w:gridCol w:w="2069"/>
      </w:tblGrid>
      <w:tr>
        <w:trPr>
          <w:jc w:val="center"/>
          <w:trHeight w:val="554"/>
          <w:tblHeader/>
        </w:trPr>
        <w:tc>
          <w:tcPr>
            <w:tcW w:w="349"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121"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审查因素</w:t>
            </w:r>
            <w:r/>
          </w:p>
        </w:tc>
        <w:tc>
          <w:tcPr>
            <w:tcW w:w="2523"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审查内容</w:t>
            </w:r>
            <w:r/>
          </w:p>
        </w:tc>
        <w:tc>
          <w:tcPr>
            <w:tcW w:w="1005"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格式要求</w:t>
            </w:r>
            <w:r/>
          </w:p>
        </w:tc>
      </w:tr>
      <w:tr>
        <w:trPr>
          <w:jc w:val="center"/>
        </w:trPr>
        <w:tc>
          <w:tcPr>
            <w:tcW w:w="349"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121"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营业执照副本</w:t>
            </w:r>
            <w:r/>
          </w:p>
        </w:tc>
        <w:tc>
          <w:tcPr>
            <w:tcW w:w="2523" w:type="pct"/>
            <w:vAlign w:val="center"/>
            <w:textDirection w:val="lrTb"/>
            <w:noWrap w:val="false"/>
          </w:tcPr>
          <w:p>
            <w:pPr>
              <w:jc w:val="left"/>
              <w:keepLines w:val="0"/>
              <w:keepNext w:val="0"/>
              <w:pageBreakBefore w:val="0"/>
              <w:spacing w:line="460" w:lineRule="exact"/>
              <w:tabs>
                <w:tab w:val="left" w:pos="108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营业执照副本(“三证合一”的营业执照副本）</w:t>
            </w:r>
            <w:r/>
          </w:p>
        </w:tc>
        <w:tc>
          <w:tcPr>
            <w:tcW w:w="1005" w:type="pct"/>
            <w:vAlign w:val="center"/>
            <w:textDirection w:val="lrTb"/>
            <w:noWrap w:val="false"/>
          </w:tcPr>
          <w:p>
            <w:pPr>
              <w:jc w:val="left"/>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提供扫描件加盖投标人公章。</w:t>
            </w:r>
            <w:r/>
          </w:p>
        </w:tc>
      </w:tr>
      <w:tr>
        <w:trPr>
          <w:jc w:val="center"/>
        </w:trPr>
        <w:tc>
          <w:tcPr>
            <w:tcW w:w="349"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310" w:type="dxa"/>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法定代表人资格证明书或授权委托书</w:t>
            </w:r>
            <w:r/>
          </w:p>
        </w:tc>
        <w:tc>
          <w:tcPr>
            <w:tcW w:w="519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法定代表人资格证明书或授权委托书【</w:t>
            </w:r>
            <w:r>
              <w:rPr>
                <w:rFonts w:hint="eastAsia" w:ascii="宋体" w:hAnsi="宋体" w:eastAsia="宋体" w:cs="宋体"/>
                <w:bCs/>
                <w:color w:val="auto"/>
                <w:sz w:val="24"/>
                <w:szCs w:val="24"/>
                <w:highlight w:val="none"/>
                <w:lang w:eastAsia="zh-CN"/>
              </w:rPr>
              <w:t xml:space="preserve">授权代表提供投标人为其缴纳的近三个月（2025年8月-2025年10月）中任意一个月的社保证明</w:t>
            </w:r>
            <w:r>
              <w:rPr>
                <w:rFonts w:hint="eastAsia" w:ascii="宋体" w:hAnsi="宋体" w:eastAsia="宋体" w:cs="宋体"/>
                <w:bCs/>
                <w:color w:val="auto"/>
                <w:sz w:val="24"/>
                <w:szCs w:val="24"/>
                <w:highlight w:val="none"/>
              </w:rPr>
              <w:t xml:space="preserve">】、法定代表人身份证及被授权人身份证。</w:t>
            </w:r>
            <w:r/>
          </w:p>
        </w:tc>
        <w:tc>
          <w:tcPr>
            <w:tcW w:w="1005" w:type="pct"/>
            <w:vAlign w:val="center"/>
            <w:textDirection w:val="lrTb"/>
            <w:noWrap w:val="false"/>
          </w:tcPr>
          <w:p>
            <w:pP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格式见《投标文件格式》，授权代表按要求提供社保证明扫描件加盖投标人公章。</w:t>
            </w:r>
            <w:r/>
          </w:p>
        </w:tc>
      </w:tr>
      <w:tr>
        <w:trPr>
          <w:jc w:val="center"/>
          <w:trHeight w:val="590"/>
        </w:trPr>
        <w:tc>
          <w:tcPr>
            <w:tcW w:w="349"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121"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投标人资格声明</w:t>
            </w:r>
            <w:r/>
          </w:p>
        </w:tc>
        <w:tc>
          <w:tcPr>
            <w:tcW w:w="2523" w:type="pct"/>
            <w:vAlign w:val="center"/>
            <w:textDirection w:val="lrTb"/>
            <w:noWrap w:val="false"/>
          </w:tcPr>
          <w:p>
            <w:pPr>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《投标人资格声明函》</w:t>
            </w:r>
            <w:r/>
          </w:p>
        </w:tc>
        <w:tc>
          <w:tcPr>
            <w:tcW w:w="1005" w:type="pct"/>
            <w:vAlign w:val="center"/>
            <w:textDirection w:val="lrTb"/>
            <w:noWrap w:val="false"/>
          </w:tcPr>
          <w:p>
            <w:pP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格式见《投标文件格式》</w:t>
            </w:r>
            <w:r/>
          </w:p>
        </w:tc>
      </w:tr>
      <w:tr>
        <w:trPr>
          <w:jc w:val="center"/>
        </w:trPr>
        <w:tc>
          <w:tcPr>
            <w:tcW w:w="349"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121"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投标人信用记录</w:t>
            </w:r>
            <w:r/>
          </w:p>
        </w:tc>
        <w:tc>
          <w:tcPr>
            <w:tcW w:w="2523" w:type="pct"/>
            <w:vAlign w:val="center"/>
            <w:textDirection w:val="lrTb"/>
            <w:noWrap w:val="false"/>
          </w:tcPr>
          <w:p>
            <w:pP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1、查询渠道:信用中国网站和中国政府采购网(www.creditchina.gov.cn、www.ccgp.gov.cn)；</w:t>
            </w:r>
            <w:r/>
          </w:p>
          <w:p>
            <w:pPr>
              <w:keepLines w:val="0"/>
              <w:keepNext w:val="0"/>
              <w:pageBreakBefore w:val="0"/>
              <w:spacing w:line="460" w:lineRule="exact"/>
              <w:tabs>
                <w:tab w:val="left" w:pos="900" w:leader="none"/>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2、截止时点:投标文件递交截止时间以后、资格审查阶段采购人或采购代理机构的实际查询时间；</w:t>
            </w:r>
            <w:r/>
          </w:p>
          <w:p>
            <w:pPr>
              <w:keepLines w:val="0"/>
              <w:keepNext w:val="0"/>
              <w:pageBreakBefore w:val="0"/>
              <w:spacing w:line="460" w:lineRule="exact"/>
              <w:tabs>
                <w:tab w:val="left" w:pos="900" w:leader="none"/>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3、信用信息查询记录和证据留存具体方式:查询结果网页打印页作为查询记录和证据，与其他招标文件一并保存；</w:t>
            </w:r>
            <w:r/>
          </w:p>
          <w:p>
            <w:pPr>
              <w:keepLines w:val="0"/>
              <w:keepNext w:val="0"/>
              <w:pageBreakBefore w:val="0"/>
              <w:spacing w:line="460" w:lineRule="exact"/>
              <w:tabs>
                <w:tab w:val="left" w:pos="108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4、信用信息的使用原则:经认定的被列入失信被执行人、重大税收违法案件当事人名单、政府采购严重违法失信行为记录名单的投标人，其响应无效。联合体形式参加的，联合体成员存在不良信用记录，视同联合体存在不良信用记录。</w:t>
            </w:r>
            <w:r/>
          </w:p>
        </w:tc>
        <w:tc>
          <w:tcPr>
            <w:tcW w:w="1005" w:type="pct"/>
            <w:vAlign w:val="center"/>
            <w:textDirection w:val="lrTb"/>
            <w:noWrap w:val="false"/>
          </w:tcPr>
          <w:p>
            <w:pP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无须投标人提供，由采购人查询。</w:t>
            </w:r>
            <w:r/>
          </w:p>
        </w:tc>
      </w:tr>
      <w:tr>
        <w:trPr>
          <w:jc w:val="center"/>
        </w:trPr>
        <w:tc>
          <w:tcPr>
            <w:tcW w:w="349"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121"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信用承诺</w:t>
            </w:r>
            <w:r/>
          </w:p>
        </w:tc>
        <w:tc>
          <w:tcPr>
            <w:tcW w:w="2523" w:type="pct"/>
            <w:vAlign w:val="center"/>
            <w:textDirection w:val="lrTb"/>
            <w:noWrap w:val="false"/>
          </w:tcPr>
          <w:p>
            <w:pPr>
              <w:keepLines w:val="0"/>
              <w:keepNext w:val="0"/>
              <w:pageBreakBefore w:val="0"/>
              <w:spacing w:line="460" w:lineRule="exact"/>
              <w:tabs>
                <w:tab w:val="left" w:pos="108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《政府采购供应商信用承诺书》</w:t>
            </w:r>
            <w:r/>
          </w:p>
        </w:tc>
        <w:tc>
          <w:tcPr>
            <w:tcW w:w="1005" w:type="pct"/>
            <w:vAlign w:val="center"/>
            <w:textDirection w:val="lrTb"/>
            <w:noWrap w:val="false"/>
          </w:tcPr>
          <w:p>
            <w:pP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格式见《投标文件格式》</w:t>
            </w:r>
            <w:r/>
          </w:p>
        </w:tc>
      </w:tr>
      <w:tr>
        <w:trPr>
          <w:jc w:val="center"/>
        </w:trPr>
        <w:tc>
          <w:tcPr>
            <w:tcW w:w="349"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121"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落实政府采购政策需满足的资格要求</w:t>
            </w:r>
            <w:r/>
          </w:p>
        </w:tc>
        <w:tc>
          <w:tcPr>
            <w:tcW w:w="2523" w:type="pct"/>
            <w:vAlign w:val="center"/>
            <w:textDirection w:val="lrTb"/>
            <w:noWrap w:val="false"/>
          </w:tcPr>
          <w:p>
            <w:pP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如采购公告中明确专门面向中小/小微企业采购，须按要求提供中小企业声明函；未专门面向中小/小微企业采购，此项无需提供。</w:t>
            </w:r>
            <w:r/>
          </w:p>
        </w:tc>
        <w:tc>
          <w:tcPr>
            <w:tcW w:w="1005" w:type="pct"/>
            <w:vAlign w:val="center"/>
            <w:textDirection w:val="lrTb"/>
            <w:noWrap w:val="false"/>
          </w:tcPr>
          <w:p>
            <w:pP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《中小企业声明函》、《残疾人福利性单位声明函》格式见《投标文件格式》</w:t>
            </w:r>
            <w:r/>
          </w:p>
        </w:tc>
      </w:tr>
      <w:tr>
        <w:trPr>
          <w:jc w:val="center"/>
        </w:trPr>
        <w:tc>
          <w:tcPr>
            <w:tcW w:w="349"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w:t>
            </w:r>
            <w:r/>
          </w:p>
        </w:tc>
        <w:tc>
          <w:tcPr>
            <w:tcW w:w="1121"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本项目的特定资格要求</w:t>
            </w:r>
            <w:r/>
          </w:p>
        </w:tc>
        <w:tc>
          <w:tcPr>
            <w:tcW w:w="5198" w:type="dxa"/>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无</w:t>
            </w:r>
            <w:r/>
          </w:p>
        </w:tc>
        <w:tc>
          <w:tcPr>
            <w:tcW w:w="2069" w:type="dxa"/>
            <w:vAlign w:val="center"/>
            <w:textDirection w:val="lrTb"/>
            <w:noWrap w:val="false"/>
          </w:tcPr>
          <w:p>
            <w:pPr>
              <w:keepLines w:val="0"/>
              <w:keepNext w:val="0"/>
              <w:pageBreakBefore w:val="0"/>
              <w:spacing w:line="460" w:lineRule="exact"/>
              <w:tabs>
                <w:tab w:val="left" w:pos="108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bl>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第四章 </w:t>
      </w:r>
      <w:bookmarkStart w:id="229" w:name="_Toc487900382"/>
      <w:r>
        <w:rPr>
          <w:rFonts w:hint="eastAsia" w:ascii="宋体" w:hAnsi="宋体" w:eastAsia="宋体" w:cs="宋体"/>
          <w:b/>
          <w:color w:val="auto"/>
          <w:sz w:val="36"/>
          <w:szCs w:val="36"/>
          <w:highlight w:val="none"/>
        </w:rPr>
        <w:t xml:space="preserve">评标程序、评标方法和评标标准</w:t>
      </w:r>
      <w:bookmarkEnd w:id="229"/>
      <w:r/>
      <w:r/>
    </w:p>
    <w:p>
      <w:pPr>
        <w:jc w:val="center"/>
        <w:spacing w:line="360" w:lineRule="auto"/>
        <w:tabs>
          <w:tab w:val="left" w:pos="360" w:leader="none"/>
          <w:tab w:val="left" w:pos="900" w:leader="none"/>
        </w:tabs>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第一节 符合性审查程序</w:t>
      </w:r>
      <w:r/>
    </w:p>
    <w:p>
      <w:pPr>
        <w:ind w:firstLine="48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一、评标委员会对资格审查合格的投标人的投标文件进行符合性审查，以确定其是否满足招标文件的实质性要求。</w:t>
      </w:r>
      <w:r/>
    </w:p>
    <w:p>
      <w:pPr>
        <w:ind w:firstLine="48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评标委员会根据《符合性审查要求》中规定的审查因素和审查内容，对投标人的投标文件是否实质上响应招标文件进行符合性审查，并形成符合性审查评审结果。投标文件不符合《符合性审查要求》的，投标无效</w:t>
      </w:r>
      <w:r>
        <w:rPr>
          <w:rFonts w:hint="eastAsia" w:ascii="宋体" w:hAnsi="宋体" w:eastAsia="宋体" w:cs="宋体"/>
          <w:color w:val="auto"/>
          <w:sz w:val="24"/>
          <w:highlight w:val="none"/>
        </w:rPr>
        <w:t xml:space="preserve">。</w:t>
      </w:r>
      <w:r/>
    </w:p>
    <w:p>
      <w:pPr>
        <w:jc w:val="center"/>
        <w:spacing w:line="360" w:lineRule="auto"/>
        <w:tabs>
          <w:tab w:val="left" w:pos="360" w:leader="none"/>
          <w:tab w:val="left" w:pos="900" w:leader="none"/>
        </w:tabs>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第二节 符合性审查及评审要求</w:t>
      </w:r>
      <w:r/>
    </w:p>
    <w:p>
      <w:pPr>
        <w:pStyle w:val="1027"/>
        <w:ind w:firstLine="562"/>
        <w:spacing w:line="360" w:lineRule="auto"/>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一、符合性审查要求</w:t>
      </w:r>
      <w:bookmarkEnd w:id="211"/>
      <w:r/>
      <w:bookmarkEnd w:id="212"/>
      <w:r/>
      <w:r/>
    </w:p>
    <w:tbl>
      <w:tblPr>
        <w:tblStyle w:val="980"/>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719"/>
        <w:gridCol w:w="5835"/>
        <w:gridCol w:w="1983"/>
      </w:tblGrid>
      <w:tr>
        <w:trPr>
          <w:jc w:val="center"/>
          <w:trHeight w:val="300"/>
        </w:trPr>
        <w:tc>
          <w:tcPr>
            <w:tcW w:w="365" w:type="pct"/>
            <w:vAlign w:val="center"/>
            <w:textDirection w:val="lrTb"/>
            <w:noWrap w:val="false"/>
          </w:tcPr>
          <w:p>
            <w:pPr>
              <w:jc w:val="center"/>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835" w:type="pct"/>
            <w:vAlign w:val="center"/>
            <w:textDirection w:val="lrTb"/>
            <w:noWrap w:val="false"/>
          </w:tcPr>
          <w:p>
            <w:pPr>
              <w:jc w:val="center"/>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审查因素</w:t>
            </w:r>
            <w:r/>
          </w:p>
        </w:tc>
        <w:tc>
          <w:tcPr>
            <w:tcW w:w="2834" w:type="pct"/>
            <w:vAlign w:val="center"/>
            <w:textDirection w:val="lrTb"/>
            <w:noWrap w:val="false"/>
          </w:tcPr>
          <w:p>
            <w:pPr>
              <w:jc w:val="center"/>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审查内容</w:t>
            </w:r>
            <w:r/>
          </w:p>
        </w:tc>
        <w:tc>
          <w:tcPr>
            <w:tcW w:w="963" w:type="pct"/>
            <w:vAlign w:val="center"/>
            <w:textDirection w:val="lrTb"/>
            <w:noWrap w:val="false"/>
          </w:tcPr>
          <w:p>
            <w:pPr>
              <w:jc w:val="center"/>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格式要求</w:t>
            </w:r>
            <w:r/>
          </w:p>
        </w:tc>
      </w:tr>
      <w:tr>
        <w:trPr>
          <w:jc w:val="center"/>
          <w:trHeight w:val="685"/>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投标函</w:t>
            </w:r>
            <w:r/>
          </w:p>
        </w:tc>
        <w:tc>
          <w:tcPr>
            <w:tcW w:w="2834"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提供投标函；</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格式见《投标文件格式》</w:t>
            </w:r>
            <w:r/>
          </w:p>
        </w:tc>
      </w:tr>
      <w:tr>
        <w:trPr>
          <w:jc w:val="center"/>
          <w:trHeight w:val="90"/>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投标完整性</w:t>
            </w:r>
            <w:r/>
          </w:p>
        </w:tc>
        <w:tc>
          <w:tcPr>
            <w:tcW w:w="2834"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提供报价明细表，未有缺项、漏项；</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格式见《投标文件格式》</w:t>
            </w:r>
            <w:r/>
          </w:p>
        </w:tc>
      </w:tr>
      <w:tr>
        <w:trPr>
          <w:jc w:val="center"/>
          <w:trHeight w:val="685"/>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W w:w="2834"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投标报价未超过最高限价；</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5"/>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报价唯一性</w:t>
            </w:r>
            <w:r/>
          </w:p>
        </w:tc>
        <w:tc>
          <w:tcPr>
            <w:tcW w:w="2834"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投标文件未</w:t>
            </w:r>
            <w:r>
              <w:rPr>
                <w:rFonts w:hint="eastAsia" w:ascii="宋体" w:hAnsi="宋体" w:eastAsia="宋体" w:cs="宋体"/>
                <w:color w:val="auto"/>
                <w:sz w:val="24"/>
                <w:szCs w:val="24"/>
                <w:highlight w:val="none"/>
              </w:rPr>
              <w:t xml:space="preserve">出现可选择性或可调整的报价(招标文件另有规定的除外)</w:t>
            </w:r>
            <w:r>
              <w:rPr>
                <w:rFonts w:hint="eastAsia" w:ascii="宋体" w:hAnsi="宋体" w:eastAsia="宋体" w:cs="宋体"/>
                <w:color w:val="auto"/>
                <w:sz w:val="24"/>
                <w:szCs w:val="24"/>
                <w:highlight w:val="none"/>
              </w:rPr>
              <w:t xml:space="preserve">；</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5"/>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W w:w="2834"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投标文件中承诺的投标有效期满足招标文件中载明的投标有效期的；</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5"/>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签署、加盖公章</w:t>
            </w:r>
            <w:r/>
          </w:p>
        </w:tc>
        <w:tc>
          <w:tcPr>
            <w:tcW w:w="5835"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按照招标文件要求签署、加盖公章的；</w:t>
            </w:r>
            <w:r/>
          </w:p>
        </w:tc>
        <w:tc>
          <w:tcPr>
            <w:tcW w:w="1983"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5"/>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实质性格式</w:t>
            </w:r>
            <w:r/>
          </w:p>
        </w:tc>
        <w:tc>
          <w:tcPr>
            <w:tcW w:w="2834"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标记为“实质性格式”的文件均按招标文件要求提供；</w:t>
            </w:r>
            <w:r>
              <w:rPr>
                <w:rFonts w:hint="eastAsia" w:ascii="宋体" w:hAnsi="宋体" w:eastAsia="宋体" w:cs="宋体"/>
                <w:b/>
                <w:bCs/>
                <w:color w:val="auto"/>
                <w:sz w:val="24"/>
                <w:szCs w:val="24"/>
                <w:highlight w:val="none"/>
              </w:rPr>
              <w:t xml:space="preserve">【即:投标人资格声明函、投标函、法定代表人资格证明书、授权委托书（代理人使用）、政府采购供应商信用承诺书、中小企业声明函、技术偏离表、商务偏离表】</w:t>
            </w:r>
            <w:r>
              <w:rPr>
                <w:rFonts w:hint="eastAsia" w:ascii="宋体" w:hAnsi="宋体" w:eastAsia="宋体" w:cs="宋体"/>
                <w:color w:val="auto"/>
                <w:sz w:val="24"/>
                <w:szCs w:val="24"/>
                <w:highlight w:val="none"/>
              </w:rPr>
              <w:t xml:space="preserve">；</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格式见《投标文件格式》</w:t>
            </w:r>
            <w:r/>
          </w:p>
        </w:tc>
      </w:tr>
      <w:tr>
        <w:trPr>
          <w:jc w:val="center"/>
          <w:trHeight w:val="685"/>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★号条款响应</w:t>
            </w:r>
            <w:r/>
          </w:p>
        </w:tc>
        <w:tc>
          <w:tcPr>
            <w:tcW w:w="2834"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投标文件满足招标文件</w:t>
            </w:r>
            <w:r>
              <w:rPr>
                <w:rFonts w:hint="eastAsia" w:ascii="宋体" w:hAnsi="宋体" w:eastAsia="宋体" w:cs="宋体"/>
                <w:color w:val="auto"/>
                <w:sz w:val="24"/>
                <w:szCs w:val="24"/>
                <w:highlight w:val="none"/>
              </w:rPr>
              <w:t xml:space="preserve">第五章《采购需求》</w:t>
            </w:r>
            <w:r>
              <w:rPr>
                <w:rFonts w:hint="eastAsia" w:ascii="宋体" w:hAnsi="宋体" w:eastAsia="宋体" w:cs="宋体"/>
                <w:color w:val="auto"/>
                <w:sz w:val="24"/>
                <w:szCs w:val="24"/>
                <w:highlight w:val="none"/>
              </w:rPr>
              <w:t xml:space="preserve">中★号条款要求的；</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需按要求提供承诺函并加盖投标人公章，格式自拟。</w:t>
            </w:r>
            <w:r/>
          </w:p>
        </w:tc>
      </w:tr>
      <w:tr>
        <w:trPr>
          <w:jc w:val="center"/>
          <w:trHeight w:val="685"/>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报价合理性</w:t>
            </w:r>
            <w:r/>
          </w:p>
        </w:tc>
        <w:tc>
          <w:tcPr>
            <w:tcW w:w="2834" w:type="pct"/>
            <w:vAlign w:val="center"/>
            <w:textDirection w:val="lrTb"/>
            <w:noWrap w:val="false"/>
          </w:tcPr>
          <w:p>
            <w:pPr>
              <w:jc w:val="both"/>
              <w:spacing w:line="40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由评委审查，报价合理的予以通过。根据</w:t>
            </w:r>
            <w:r>
              <w:rPr>
                <w:rFonts w:hint="eastAsia" w:ascii="宋体" w:hAnsi="宋体" w:eastAsia="宋体" w:cs="宋体"/>
                <w:b/>
                <w:bCs/>
                <w:color w:val="auto"/>
                <w:sz w:val="24"/>
                <w:highlight w:val="none"/>
              </w:rPr>
              <w:t xml:space="preserve">苏财购〔2025〕62号文件</w:t>
            </w:r>
            <w:r>
              <w:rPr>
                <w:rFonts w:hint="eastAsia" w:ascii="宋体" w:hAnsi="宋体" w:eastAsia="宋体" w:cs="宋体"/>
                <w:color w:val="auto"/>
                <w:sz w:val="24"/>
                <w:highlight w:val="none"/>
              </w:rPr>
              <w:t xml:space="preserve">规定，评审中出现下列情形之一的，评标委员会（评审小组）应当启动异常低价投标（响应）审查程序</w:t>
            </w:r>
            <w:r>
              <w:rPr>
                <w:rFonts w:hint="eastAsia" w:ascii="宋体" w:hAnsi="宋体" w:eastAsia="宋体" w:cs="宋体"/>
                <w:color w:val="auto"/>
                <w:sz w:val="24"/>
                <w:highlight w:val="none"/>
                <w:lang w:eastAsia="zh-CN"/>
              </w:rPr>
              <w:t xml:space="preserve">:</w:t>
            </w:r>
            <w:r/>
          </w:p>
          <w:p>
            <w:pPr>
              <w:numPr>
                <w:ilvl w:val="0"/>
                <w:numId w:val="0"/>
              </w:numPr>
              <w:jc w:val="both"/>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投标（响应）报价低于采购项目预算50%的，即投标（响应）报价&lt;采购项目预算×50%；</w:t>
            </w:r>
            <w:r/>
          </w:p>
          <w:p>
            <w:pPr>
              <w:numPr>
                <w:ilvl w:val="0"/>
                <w:numId w:val="0"/>
              </w:numPr>
              <w:jc w:val="both"/>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2）投标（响应）报价低于采购项目最高限价45%的，即投标（响应）报价&lt;采购项目最高限价×45%；</w:t>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3）评标委员会（评审小组）认定的供应商报价过低、有可能影响产品质量或者</w:t>
            </w:r>
            <w:r>
              <w:rPr>
                <w:rFonts w:hint="eastAsia" w:ascii="宋体" w:hAnsi="宋体" w:eastAsia="宋体" w:cs="宋体"/>
                <w:color w:val="auto"/>
                <w:sz w:val="24"/>
                <w:highlight w:val="none"/>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p>
        </w:tc>
        <w:tc>
          <w:tcPr>
            <w:tcW w:w="963" w:type="pct"/>
            <w:vAlign w:val="center"/>
            <w:textDirection w:val="lrTb"/>
            <w:noWrap w:val="false"/>
          </w:tcPr>
          <w:p>
            <w:pPr>
              <w:jc w:val="left"/>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685"/>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国家有关部门对投标人的响应产品有强制性规定或要求的</w:t>
            </w:r>
            <w:r/>
          </w:p>
        </w:tc>
        <w:tc>
          <w:tcPr>
            <w:tcW w:w="2834"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国家有关部门对投标人的响应产品有强制性规定或要求的(如相应技术、安全、节能和环保等)，投标人的响应产品应符合相应规定或要求，并提供证明文件电子件:</w:t>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1)采购的产品若属于《节能产品政府采购品目清单》范围中政府强制采购产品，则投标人所报产品必须获得国家确定的认证机构出具的、处于有效期之内的节能产品认证证书；</w:t>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2)响应产品如有属于开展国家信息安全产品认证产品范围的，须提供由中国网络安全审查技术与认证中心(原中国信息安全认证中心)按国家标准认证颁发的有效认证证书等)；</w:t>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5"/>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公平竞争</w:t>
            </w:r>
            <w:r/>
          </w:p>
        </w:tc>
        <w:tc>
          <w:tcPr>
            <w:tcW w:w="2834"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投标人遵循公平竞争的原则，不存在恶意串通，妨碍其他投标人的竞争行为，不存在损害采购人或者其他投标人的合法权益情形的；</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16"/>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串通投标</w:t>
            </w:r>
            <w:r/>
          </w:p>
        </w:tc>
        <w:tc>
          <w:tcPr>
            <w:tcW w:w="2834"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16"/>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w:t>
            </w:r>
            <w:r/>
          </w:p>
        </w:tc>
        <w:tc>
          <w:tcPr>
            <w:tcW w:w="2834"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招标文件不接受进口产品投标的内容时，投标人所投产品为非进口产品；</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5"/>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附加条件</w:t>
            </w:r>
            <w:r/>
          </w:p>
        </w:tc>
        <w:tc>
          <w:tcPr>
            <w:tcW w:w="2834"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投标文件未含有采购人不能接受的附加条件的；</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5"/>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其他无效情形</w:t>
            </w:r>
            <w:r/>
          </w:p>
        </w:tc>
        <w:tc>
          <w:tcPr>
            <w:tcW w:w="2834"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投标人、投标文件不存在不符合法律、法规和招标文件规定的其他无效情形。</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027"/>
        <w:ind w:firstLine="562"/>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二、投标文件有关事项的澄清或者说明</w:t>
      </w:r>
      <w:r/>
    </w:p>
    <w:p>
      <w:pPr>
        <w:ind w:firstLine="480"/>
        <w:spacing w:line="360" w:lineRule="auto"/>
        <w:tabs>
          <w:tab w:val="left" w:pos="1080" w:leader="none"/>
          <w:tab w:val="left" w:pos="158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rPr>
          <w:rFonts w:hint="eastAsia" w:ascii="宋体" w:hAnsi="宋体" w:eastAsia="宋体" w:cs="宋体"/>
          <w:color w:val="auto"/>
          <w:sz w:val="24"/>
          <w:highlight w:val="none"/>
        </w:rPr>
        <w:t xml:space="preserve">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rPr>
          <w:rFonts w:hint="eastAsia" w:ascii="宋体" w:hAnsi="宋体" w:eastAsia="宋体" w:cs="宋体"/>
          <w:color w:val="auto"/>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color w:val="auto"/>
          <w:sz w:val="24"/>
          <w:highlight w:val="none"/>
        </w:rPr>
        <w:t xml:space="preserve">无效投标处理</w:t>
      </w:r>
      <w:r/>
    </w:p>
    <w:p>
      <w:pPr>
        <w:ind w:firstLine="480"/>
        <w:spacing w:line="360" w:lineRule="auto"/>
        <w:tabs>
          <w:tab w:val="left" w:pos="1080" w:leader="none"/>
          <w:tab w:val="left" w:pos="158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w:t>
      </w:r>
      <w:r>
        <w:rPr>
          <w:rFonts w:hint="eastAsia" w:ascii="宋体" w:hAnsi="宋体" w:eastAsia="宋体" w:cs="宋体"/>
          <w:color w:val="auto"/>
          <w:sz w:val="24"/>
          <w:highlight w:val="none"/>
        </w:rPr>
        <w:t xml:space="preserve">投标报价须包含招标文件全部内容，如报价明细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p>
      <w:pPr>
        <w:ind w:firstLine="480"/>
        <w:spacing w:line="360" w:lineRule="auto"/>
        <w:tabs>
          <w:tab w:val="left" w:pos="1080" w:leader="none"/>
          <w:tab w:val="left" w:pos="158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w:t>
      </w:r>
      <w:r>
        <w:rPr>
          <w:rFonts w:hint="eastAsia" w:ascii="宋体" w:hAnsi="宋体" w:eastAsia="宋体" w:cs="宋体"/>
          <w:color w:val="auto"/>
          <w:sz w:val="24"/>
          <w:highlight w:val="none"/>
        </w:rPr>
        <w:t xml:space="preserve">投标文件报价出现前后不一致的，按照第二章27.4之规定处理，修正后的报价经投标人书面确认后产生约束力，投标人不确认的，其</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p>
      <w:pPr>
        <w:ind w:firstLine="480"/>
        <w:jc w:val="left"/>
        <w:spacing w:line="360" w:lineRule="auto"/>
        <w:tabs>
          <w:tab w:val="left" w:pos="360" w:leader="none"/>
        </w:tabs>
        <w:rPr>
          <w:rFonts w:hint="eastAsia" w:ascii="宋体" w:hAnsi="宋体" w:eastAsia="宋体" w:cs="宋体"/>
          <w:b/>
          <w:color w:val="auto"/>
          <w:sz w:val="24"/>
          <w:highlight w:val="none"/>
        </w:rPr>
        <w:outlineLvl w:val="1"/>
      </w:pPr>
      <w:r>
        <w:rPr>
          <w:rFonts w:hint="eastAsia" w:ascii="宋体" w:hAnsi="宋体" w:eastAsia="宋体" w:cs="宋体"/>
          <w:color w:val="auto"/>
          <w:sz w:val="24"/>
          <w:highlight w:val="none"/>
        </w:rPr>
        <w:t xml:space="preserve">(五)</w:t>
      </w:r>
      <w:r>
        <w:rPr>
          <w:rFonts w:hint="eastAsia" w:ascii="宋体" w:hAnsi="宋体" w:eastAsia="宋体" w:cs="宋体"/>
          <w:color w:val="auto"/>
          <w:sz w:val="24"/>
          <w:highlight w:val="none"/>
        </w:rPr>
        <w:t xml:space="preserve">落实政府采购政策的价格调整:详见《第三节 评标方法》中的</w:t>
      </w:r>
      <w:r>
        <w:rPr>
          <w:rFonts w:hint="eastAsia" w:ascii="宋体" w:hAnsi="宋体" w:eastAsia="宋体" w:cs="宋体"/>
          <w:b/>
          <w:color w:val="auto"/>
          <w:sz w:val="24"/>
          <w:highlight w:val="none"/>
        </w:rPr>
        <w:t xml:space="preserve">政府采购政策功能落实。</w:t>
      </w:r>
      <w:r/>
    </w:p>
    <w:p>
      <w:pPr>
        <w:ind w:firstLine="562"/>
        <w:jc w:val="left"/>
        <w:spacing w:line="360" w:lineRule="auto"/>
        <w:tabs>
          <w:tab w:val="left" w:pos="36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三、投标文件的比较和评价</w:t>
      </w:r>
      <w:r/>
    </w:p>
    <w:p>
      <w:pPr>
        <w:ind w:firstLine="480"/>
        <w:spacing w:line="360" w:lineRule="auto"/>
        <w:tabs>
          <w:tab w:val="left" w:pos="1080" w:leader="none"/>
          <w:tab w:val="left" w:pos="158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rPr>
          <w:rFonts w:hint="eastAsia" w:ascii="宋体" w:hAnsi="宋体" w:eastAsia="宋体" w:cs="宋体"/>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rPr>
          <w:rFonts w:hint="eastAsia" w:ascii="宋体" w:hAnsi="宋体" w:eastAsia="宋体" w:cs="宋体"/>
          <w:color w:val="auto"/>
          <w:sz w:val="24"/>
          <w:highlight w:val="none"/>
        </w:rPr>
        <w:t xml:space="preserve">评标方法和评标标准</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1、本项目采用的评标方法详见《第三节 评标方法》，本项目采用的评标标准详见《第四节 评标标准》。</w:t>
      </w:r>
      <w:r/>
    </w:p>
    <w:p>
      <w:pPr>
        <w:ind w:firstLine="562"/>
        <w:jc w:val="left"/>
        <w:spacing w:line="360" w:lineRule="auto"/>
        <w:tabs>
          <w:tab w:val="left" w:pos="36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四、确定中标候选人名单</w:t>
      </w:r>
      <w:r/>
    </w:p>
    <w:p>
      <w:pPr>
        <w:ind w:firstLine="480"/>
        <w:spacing w:line="360" w:lineRule="auto"/>
        <w:tabs>
          <w:tab w:val="left" w:pos="1080" w:leader="none"/>
          <w:tab w:val="left" w:pos="1589"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rPr>
          <w:rFonts w:hint="eastAsia" w:ascii="宋体" w:hAnsi="宋体" w:eastAsia="宋体" w:cs="宋体"/>
          <w:color w:val="auto"/>
          <w:sz w:val="24"/>
          <w:highlight w:val="none"/>
        </w:rPr>
        <w:t xml:space="preserve">评标委员会要对评分汇总情况进行复核，特别是对排名第一的、报价最低的、投标或投标文件被认定为无效的情形进行重点复核。</w:t>
      </w:r>
      <w:r/>
    </w:p>
    <w:p>
      <w:pPr>
        <w:ind w:firstLine="480"/>
        <w:spacing w:line="360" w:lineRule="auto"/>
        <w:tabs>
          <w:tab w:val="left" w:pos="1080" w:leader="none"/>
          <w:tab w:val="left" w:pos="1589"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rPr>
          <w:rFonts w:hint="eastAsia" w:ascii="宋体" w:hAnsi="宋体" w:eastAsia="宋体" w:cs="宋体"/>
          <w:color w:val="auto"/>
          <w:sz w:val="24"/>
          <w:highlight w:val="none"/>
        </w:rPr>
        <w:t xml:space="preserve">评标委员会将根据各投标人的评标排序，依次推荐本项目(各采购包)的中标候选人，起草并签署评标报告。本项目(各标段或采购包)评标委员会共(各)推荐不少于3名中标候选人。</w:t>
      </w:r>
      <w:r/>
    </w:p>
    <w:p>
      <w:pPr>
        <w:ind w:firstLine="562"/>
        <w:jc w:val="left"/>
        <w:spacing w:line="360" w:lineRule="auto"/>
        <w:tabs>
          <w:tab w:val="left" w:pos="36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五、报告违法行为</w:t>
      </w:r>
      <w:r/>
    </w:p>
    <w:p>
      <w:pPr>
        <w:ind w:firstLine="480"/>
        <w:spacing w:line="360" w:lineRule="auto"/>
        <w:tabs>
          <w:tab w:val="left" w:pos="360" w:leader="none"/>
        </w:tabs>
        <w:rPr>
          <w:rFonts w:hint="eastAsia" w:ascii="宋体" w:hAnsi="宋体" w:eastAsia="宋体" w:cs="宋体"/>
          <w:b/>
          <w:color w:val="auto"/>
          <w:sz w:val="24"/>
          <w:highlight w:val="none"/>
        </w:rPr>
        <w:outlineLvl w:val="1"/>
      </w:pPr>
      <w:r>
        <w:rPr>
          <w:rFonts w:hint="eastAsia" w:ascii="宋体" w:hAnsi="宋体" w:eastAsia="宋体" w:cs="宋体"/>
          <w:color w:val="auto"/>
          <w:sz w:val="24"/>
          <w:highlight w:val="none"/>
        </w:rPr>
        <w:t xml:space="preserve">(一)</w:t>
      </w:r>
      <w:r>
        <w:rPr>
          <w:rFonts w:hint="eastAsia" w:ascii="宋体" w:hAnsi="宋体" w:eastAsia="宋体" w:cs="宋体"/>
          <w:color w:val="auto"/>
          <w:sz w:val="24"/>
          <w:highlight w:val="none"/>
        </w:rPr>
        <w:t xml:space="preserve">评标委员会在评标过程中发现投标人有行贿、提供虚假材料或者串通等违法行为时，有向采购人、采购代理机构或者有关部门报告的职责。</w:t>
      </w:r>
      <w:r/>
    </w:p>
    <w:p>
      <w:pPr>
        <w:jc w:val="center"/>
        <w:spacing w:line="360" w:lineRule="auto"/>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第三节 评标方法</w:t>
      </w:r>
      <w:r/>
    </w:p>
    <w:p>
      <w:pPr>
        <w:ind w:firstLine="480"/>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w:t>
      </w:r>
      <w:r>
        <w:rPr>
          <w:rFonts w:hint="eastAsia" w:ascii="宋体" w:hAnsi="宋体" w:eastAsia="宋体" w:cs="宋体"/>
          <w:color w:val="auto"/>
          <w:sz w:val="24"/>
          <w:highlight w:val="none"/>
          <w:lang w:eastAsia="zh-CN"/>
        </w:rPr>
        <w:t xml:space="preserve">技术分</w:t>
      </w:r>
      <w:r>
        <w:rPr>
          <w:rFonts w:hint="eastAsia" w:ascii="宋体" w:hAnsi="宋体" w:eastAsia="宋体" w:cs="宋体"/>
          <w:color w:val="auto"/>
          <w:sz w:val="24"/>
          <w:highlight w:val="none"/>
        </w:rPr>
        <w:t xml:space="preserve">得分高的为中标单位；如各部分得分均相同，则由采购人代表现场对上述单位进行随机抽签,抽到的投标人即确定为中标单位。每部分的得分保留小数点后两位，合计得分保留小数点后两位，第三位四舍五入。             </w:t>
      </w:r>
      <w:r/>
    </w:p>
    <w:p>
      <w:pPr>
        <w:ind w:firstLine="482"/>
        <w:jc w:val="left"/>
        <w:spacing w:line="360" w:lineRule="auto"/>
        <w:rPr>
          <w:rFonts w:hint="eastAsia" w:ascii="宋体" w:hAnsi="宋体" w:eastAsia="宋体" w:cs="宋体"/>
          <w:b/>
          <w:color w:val="auto"/>
          <w:sz w:val="24"/>
          <w:highlight w:val="none"/>
        </w:rPr>
      </w:pPr>
      <w:r/>
      <w:bookmarkStart w:id="230" w:name="_Hlk149916140"/>
      <w:r>
        <w:rPr>
          <w:rFonts w:hint="eastAsia" w:ascii="宋体" w:hAnsi="宋体" w:eastAsia="宋体" w:cs="宋体"/>
          <w:b/>
          <w:color w:val="auto"/>
          <w:sz w:val="24"/>
          <w:highlight w:val="none"/>
        </w:rPr>
        <w:t xml:space="preserve">三、落实政府采购政策的价格调整</w:t>
      </w:r>
      <w:r/>
    </w:p>
    <w:p>
      <w:pPr>
        <w:ind w:firstLine="482"/>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只有符合第二章第二节《总则》4.2条规定情形的，可以享受中小企业扶持政策，用扣除后的价格参加评审；否则，评审时价格不予扣除。</w:t>
      </w:r>
      <w:bookmarkEnd w:id="230"/>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1、小微型企业价格扣除</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(1)投标人需按照招标文件的要求提供相应的《中小企业声明函》。</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(2)企业标准请参照《关于印发中小企业划型标准规定的通知》(工信部联企业[2011]300号)文件规定自行填写。</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2、残疾人福利单位价格扣除</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(1)残疾人福利性单位视同小型、微型企业。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(2)残疾人福利单位需按照招标文件的要求提供《残疾人福利性单位声明函》。</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(3)残疾人福利单位标准请参照《关于促进残疾人就业政府采购政策的通知》(财库〔2017〕141号)。</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3、监狱和戒毒企业价格扣除</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(1)监狱和戒毒企业(简称监狱企业)视同小型、微型企业。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auto"/>
          <w:sz w:val="24"/>
          <w:highlight w:val="none"/>
        </w:rPr>
        <w:t xml:space="preserve">投标人如不提供上述证明文件，价格将不做相应扣除</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(3)监狱企业标准请参照《关于政府采购支持监狱企业发展有关问题的通知》(财库[2014]68号)。</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4、残疾人福利单位、监狱企业属于小型、微型企业的，不重复享受政策。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highlight w:val="none"/>
          <w:u w:val="single"/>
        </w:rPr>
        <w:t xml:space="preserve">6%</w:t>
      </w:r>
      <w:r>
        <w:rPr>
          <w:rFonts w:hint="eastAsia" w:ascii="宋体" w:hAnsi="宋体" w:eastAsia="宋体" w:cs="宋体"/>
          <w:color w:val="auto"/>
          <w:sz w:val="24"/>
          <w:highlight w:val="none"/>
        </w:rPr>
        <w:t xml:space="preserve">的价格扣除，用扣除后的价格参与评审。</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6、联合体各方均为小型、微型企业(残疾人福利单位、监狱企业)的，联合体享受</w:t>
      </w:r>
      <w:r>
        <w:rPr>
          <w:rFonts w:hint="eastAsia" w:ascii="宋体" w:hAnsi="宋体" w:eastAsia="宋体" w:cs="宋体"/>
          <w:color w:val="auto"/>
          <w:sz w:val="24"/>
          <w:highlight w:val="none"/>
          <w:u w:val="single"/>
        </w:rPr>
        <w:t xml:space="preserve">20%</w:t>
      </w:r>
      <w:r>
        <w:rPr>
          <w:rFonts w:hint="eastAsia" w:ascii="宋体" w:hAnsi="宋体" w:eastAsia="宋体" w:cs="宋体"/>
          <w:color w:val="auto"/>
          <w:sz w:val="24"/>
          <w:highlight w:val="none"/>
        </w:rPr>
        <w:t xml:space="preserve">价格扣除，用扣除后的价格参与评审。</w:t>
      </w:r>
      <w:r/>
    </w:p>
    <w:p>
      <w:pPr>
        <w:ind w:firstLine="240"/>
        <w:jc w:val="center"/>
        <w:spacing w:line="360" w:lineRule="auto"/>
        <w:widowControl/>
        <w:tabs>
          <w:tab w:val="left" w:pos="1080"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240"/>
        <w:jc w:val="center"/>
        <w:spacing w:line="360" w:lineRule="auto"/>
        <w:widowControl/>
        <w:tabs>
          <w:tab w:val="left" w:pos="1080" w:leader="none"/>
          <w:tab w:val="left" w:pos="1872" w:leader="none"/>
        </w:tabs>
        <w:rPr>
          <w:rFonts w:hint="eastAsia" w:ascii="宋体" w:hAnsi="宋体" w:eastAsia="宋体" w:cs="宋体"/>
          <w:color w:val="auto"/>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32"/>
          <w:szCs w:val="32"/>
          <w:highlight w:val="none"/>
        </w:rPr>
        <w:t xml:space="preserve">第四节 评标标准</w:t>
      </w:r>
      <w:r/>
    </w:p>
    <w:tbl>
      <w:tblPr>
        <w:tblStyle w:val="980"/>
        <w:tblW w:w="104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062"/>
        <w:gridCol w:w="706"/>
        <w:gridCol w:w="7994"/>
      </w:tblGrid>
      <w:tr>
        <w:trPr/>
        <w:tc>
          <w:tcPr>
            <w:tcW w:w="717"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bCs/>
                <w:color w:val="auto"/>
                <w:sz w:val="21"/>
                <w:szCs w:val="21"/>
                <w:highlight w:val="none"/>
              </w:rPr>
            </w:pPr>
            <w:r/>
            <w:bookmarkStart w:id="231" w:name="_Toc13990"/>
            <w:r>
              <w:rPr>
                <w:rFonts w:hint="eastAsia" w:ascii="宋体" w:hAnsi="宋体" w:eastAsia="宋体" w:cs="宋体"/>
                <w:b/>
                <w:bCs/>
                <w:color w:val="auto"/>
                <w:sz w:val="21"/>
                <w:szCs w:val="21"/>
                <w:highlight w:val="none"/>
              </w:rPr>
              <w:t xml:space="preserve">序号</w:t>
            </w:r>
            <w:r/>
          </w:p>
        </w:tc>
        <w:tc>
          <w:tcPr>
            <w:tcW w:w="1062"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评分因素</w:t>
            </w:r>
            <w:r/>
          </w:p>
        </w:tc>
        <w:tc>
          <w:tcPr>
            <w:tcW w:w="706"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分值</w:t>
            </w:r>
            <w:r/>
          </w:p>
        </w:tc>
        <w:tc>
          <w:tcPr>
            <w:tcW w:w="7994"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评分标准</w:t>
            </w:r>
            <w:r/>
          </w:p>
        </w:tc>
      </w:tr>
      <w:tr>
        <w:trPr/>
        <w:tc>
          <w:tcPr>
            <w:tcW w:w="717"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062"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价格分</w:t>
            </w:r>
            <w:r/>
          </w:p>
        </w:tc>
        <w:tc>
          <w:tcPr>
            <w:tcW w:w="706"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w:t>
            </w:r>
            <w:r/>
          </w:p>
        </w:tc>
        <w:tc>
          <w:tcPr>
            <w:tcW w:w="7994" w:type="dxa"/>
            <w:vAlign w:val="center"/>
            <w:textDirection w:val="lrTb"/>
            <w:noWrap w:val="false"/>
          </w:tcPr>
          <w:p>
            <w:pPr>
              <w:jc w:val="both"/>
              <w:keepLines w:val="0"/>
              <w:keepNext w:val="0"/>
              <w:pageBreakBefore w:val="0"/>
              <w:spacing w:line="42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tc>
          <w:tcPr>
            <w:tcW w:w="717"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W w:w="1062"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w:t>
            </w:r>
            <w:r/>
          </w:p>
        </w:tc>
        <w:tc>
          <w:tcPr>
            <w:tcW w:w="706"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7994" w:type="dxa"/>
            <w:vAlign w:val="center"/>
            <w:textDirection w:val="lrTb"/>
            <w:noWrap w:val="false"/>
          </w:tcPr>
          <w:p>
            <w:pPr>
              <w:jc w:val="both"/>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w:t>
            </w:r>
            <w:r>
              <w:rPr>
                <w:rFonts w:hint="eastAsia" w:ascii="宋体" w:hAnsi="宋体" w:eastAsia="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要求且</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报价最低的有效报价为</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基准价，</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报价等于</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基准价的得标准分</w:t>
            </w:r>
            <w:r>
              <w:rPr>
                <w:rFonts w:hint="eastAsia" w:ascii="宋体" w:hAnsi="宋体" w:eastAsia="宋体" w:cs="宋体"/>
                <w:color w:val="auto"/>
                <w:sz w:val="21"/>
                <w:szCs w:val="21"/>
                <w:highlight w:val="none"/>
                <w:lang w:val="en-US" w:eastAsia="zh-CN"/>
              </w:rPr>
              <w:t xml:space="preserve">10分</w:t>
            </w:r>
            <w:r>
              <w:rPr>
                <w:rFonts w:hint="eastAsia" w:ascii="宋体" w:hAnsi="宋体" w:eastAsia="宋体" w:cs="宋体"/>
                <w:color w:val="auto"/>
                <w:sz w:val="21"/>
                <w:szCs w:val="21"/>
                <w:highlight w:val="none"/>
              </w:rPr>
              <w:t xml:space="preserve">。其他</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报价得分=（</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基准价/</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报价）×</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。（小数点后保留两位，第三位四舍五入）</w:t>
            </w:r>
            <w:r/>
          </w:p>
          <w:p>
            <w:pPr>
              <w:jc w:val="both"/>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有效报价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通过符合性审查并经算数修正的</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报价为有效报价。</w:t>
            </w:r>
            <w:r/>
          </w:p>
          <w:p>
            <w:pPr>
              <w:jc w:val="both"/>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不合理报价</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不得低于成本或市场价恶意竞标，</w:t>
            </w:r>
            <w:r>
              <w:rPr>
                <w:rFonts w:hint="eastAsia" w:ascii="宋体" w:hAnsi="宋体" w:eastAsia="宋体" w:cs="宋体"/>
                <w:color w:val="auto"/>
                <w:sz w:val="21"/>
                <w:szCs w:val="21"/>
                <w:highlight w:val="none"/>
                <w:lang w:eastAsia="zh-CN"/>
              </w:rPr>
              <w:t xml:space="preserve">评标小组</w:t>
            </w:r>
            <w:r>
              <w:rPr>
                <w:rFonts w:hint="eastAsia" w:ascii="宋体" w:hAnsi="宋体" w:eastAsia="宋体" w:cs="宋体"/>
                <w:color w:val="auto"/>
                <w:sz w:val="21"/>
                <w:szCs w:val="21"/>
                <w:highlight w:val="none"/>
              </w:rPr>
              <w:t xml:space="preserve">认为</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的报价明显低于其他通过符合</w:t>
            </w:r>
            <w:r>
              <w:rPr>
                <w:rFonts w:hint="eastAsia" w:ascii="宋体" w:hAnsi="宋体" w:eastAsia="宋体" w:cs="宋体"/>
                <w:color w:val="auto"/>
                <w:sz w:val="21"/>
                <w:szCs w:val="21"/>
                <w:highlight w:val="none"/>
                <w:lang w:eastAsia="zh-CN"/>
              </w:rPr>
              <w:t xml:space="preserve">性审查投标人的报价，</w:t>
            </w:r>
            <w:r>
              <w:rPr>
                <w:rFonts w:hint="eastAsia" w:ascii="宋体" w:hAnsi="宋体" w:eastAsia="宋体" w:cs="宋体"/>
                <w:color w:val="auto"/>
                <w:sz w:val="21"/>
                <w:szCs w:val="21"/>
                <w:highlight w:val="none"/>
              </w:rPr>
              <w:t xml:space="preserve">有可能影响产品质量或者不能诚信履约的，</w:t>
            </w:r>
            <w:r>
              <w:rPr>
                <w:rFonts w:hint="eastAsia" w:ascii="宋体" w:hAnsi="宋体" w:eastAsia="宋体" w:cs="宋体"/>
                <w:color w:val="auto"/>
                <w:sz w:val="21"/>
                <w:szCs w:val="21"/>
                <w:highlight w:val="none"/>
                <w:lang w:eastAsia="zh-CN"/>
              </w:rPr>
              <w:t xml:space="preserve">评标小组</w:t>
            </w:r>
            <w:r>
              <w:rPr>
                <w:rFonts w:hint="eastAsia" w:ascii="宋体" w:hAnsi="宋体" w:eastAsia="宋体" w:cs="宋体"/>
                <w:color w:val="auto"/>
                <w:sz w:val="21"/>
                <w:szCs w:val="21"/>
                <w:highlight w:val="none"/>
              </w:rPr>
              <w:t xml:space="preserve">有权要求其在评标现场合理的时间内提供书面说明，必要时提交相关证明材料；</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如不能证明其报价合理性的，</w:t>
            </w:r>
            <w:r>
              <w:rPr>
                <w:rFonts w:hint="eastAsia" w:ascii="宋体" w:hAnsi="宋体" w:eastAsia="宋体" w:cs="宋体"/>
                <w:color w:val="auto"/>
                <w:sz w:val="21"/>
                <w:szCs w:val="21"/>
                <w:highlight w:val="none"/>
                <w:lang w:eastAsia="zh-CN"/>
              </w:rPr>
              <w:t xml:space="preserve">评标小组</w:t>
            </w:r>
            <w:r>
              <w:rPr>
                <w:rFonts w:hint="eastAsia" w:ascii="宋体" w:hAnsi="宋体" w:eastAsia="宋体" w:cs="宋体"/>
                <w:color w:val="auto"/>
                <w:sz w:val="21"/>
                <w:szCs w:val="21"/>
                <w:highlight w:val="none"/>
              </w:rPr>
              <w:t xml:space="preserve">应当将其作为无效</w:t>
            </w:r>
            <w:r>
              <w:rPr>
                <w:rFonts w:hint="eastAsia" w:ascii="宋体" w:hAnsi="宋体" w:eastAsia="宋体" w:cs="宋体"/>
                <w:color w:val="auto"/>
                <w:sz w:val="21"/>
                <w:szCs w:val="21"/>
                <w:highlight w:val="none"/>
                <w:lang w:eastAsia="zh-CN"/>
              </w:rPr>
              <w:t xml:space="preserve">投标</w:t>
            </w:r>
            <w:r>
              <w:rPr>
                <w:rFonts w:hint="eastAsia" w:ascii="宋体" w:hAnsi="宋体" w:eastAsia="宋体" w:cs="宋体"/>
                <w:color w:val="auto"/>
                <w:sz w:val="21"/>
                <w:szCs w:val="21"/>
                <w:highlight w:val="none"/>
              </w:rPr>
              <w:t xml:space="preserve">处理。</w:t>
            </w:r>
            <w:r/>
          </w:p>
        </w:tc>
      </w:tr>
      <w:tr>
        <w:trPr/>
        <w:tc>
          <w:tcPr>
            <w:tcW w:w="717"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062"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主观分</w:t>
            </w:r>
            <w:r/>
          </w:p>
        </w:tc>
        <w:tc>
          <w:tcPr>
            <w:tcW w:w="706"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33</w:t>
            </w:r>
            <w:r/>
          </w:p>
        </w:tc>
        <w:tc>
          <w:tcPr>
            <w:tcW w:w="7994" w:type="dxa"/>
            <w:vAlign w:val="center"/>
            <w:textDirection w:val="lrTb"/>
            <w:noWrap w:val="false"/>
          </w:tcPr>
          <w:p>
            <w:pPr>
              <w:jc w:val="both"/>
              <w:keepLines w:val="0"/>
              <w:keepNext w:val="0"/>
              <w:pageBreakBefore w:val="0"/>
              <w:spacing w:line="42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tc>
          <w:tcPr>
            <w:tcW w:w="717"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1"/>
                <w:szCs w:val="21"/>
                <w:highlight w:val="none"/>
                <w:lang w:eastAsia="zh-CN"/>
              </w:rPr>
            </w:pPr>
            <w:r/>
            <w:bookmarkStart w:id="232" w:name="OLE_LINK72"/>
            <w:r>
              <w:rPr>
                <w:rFonts w:hint="eastAsia" w:ascii="宋体" w:hAnsi="宋体" w:eastAsia="宋体" w:cs="宋体"/>
                <w:color w:val="auto"/>
                <w:sz w:val="21"/>
                <w:szCs w:val="21"/>
                <w:highlight w:val="none"/>
                <w:lang w:val="en-US" w:eastAsia="zh-CN"/>
              </w:rPr>
              <w:t xml:space="preserve">1</w:t>
            </w:r>
            <w:r/>
          </w:p>
        </w:tc>
        <w:tc>
          <w:tcPr>
            <w:tcW w:w="1062"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技术方案</w:t>
            </w:r>
            <w:r/>
          </w:p>
        </w:tc>
        <w:tc>
          <w:tcPr>
            <w:tcW w:w="706"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7994" w:type="dxa"/>
            <w:vAlign w:val="center"/>
            <w:textDirection w:val="lrTb"/>
            <w:noWrap w:val="false"/>
          </w:tcPr>
          <w:p>
            <w:pPr>
              <w:ind w:firstLine="28"/>
              <w:jc w:val="both"/>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需提供针对本项目的</w:t>
            </w:r>
            <w:r>
              <w:rPr>
                <w:rFonts w:hint="eastAsia" w:ascii="宋体" w:hAnsi="宋体" w:eastAsia="宋体" w:cs="宋体"/>
                <w:color w:val="auto"/>
                <w:sz w:val="21"/>
                <w:szCs w:val="21"/>
                <w:highlight w:val="none"/>
                <w:lang w:eastAsia="zh-CN"/>
              </w:rPr>
              <w:t xml:space="preserve">技术</w:t>
            </w:r>
            <w:r>
              <w:rPr>
                <w:rFonts w:hint="eastAsia" w:ascii="宋体" w:hAnsi="宋体" w:eastAsia="宋体" w:cs="宋体"/>
                <w:color w:val="auto"/>
                <w:sz w:val="21"/>
                <w:szCs w:val="21"/>
                <w:highlight w:val="none"/>
              </w:rPr>
              <w:t xml:space="preserve">方案，包含但不限于</w:t>
            </w:r>
            <w:r>
              <w:rPr>
                <w:rFonts w:hint="eastAsia" w:ascii="宋体" w:hAnsi="宋体" w:eastAsia="宋体" w:cs="宋体"/>
                <w:color w:val="auto"/>
                <w:sz w:val="21"/>
                <w:szCs w:val="21"/>
                <w:highlight w:val="none"/>
                <w:lang w:eastAsia="zh-CN"/>
              </w:rPr>
              <w:t xml:space="preserve">技术人员组建、产品架构、特点</w:t>
            </w:r>
            <w:r>
              <w:rPr>
                <w:rFonts w:hint="eastAsia" w:ascii="宋体" w:hAnsi="宋体" w:eastAsia="宋体" w:cs="宋体"/>
                <w:color w:val="auto"/>
                <w:sz w:val="21"/>
                <w:szCs w:val="21"/>
                <w:highlight w:val="none"/>
              </w:rPr>
              <w:t xml:space="preserve">等，进行综合评审，</w:t>
            </w:r>
            <w:r>
              <w:rPr>
                <w:rFonts w:hint="eastAsia" w:ascii="宋体" w:hAnsi="宋体" w:eastAsia="宋体" w:cs="宋体"/>
                <w:b/>
                <w:bCs/>
                <w:color w:val="auto"/>
                <w:sz w:val="21"/>
                <w:szCs w:val="21"/>
                <w:highlight w:val="none"/>
              </w:rPr>
              <w:t xml:space="preserve">本项目最高得</w:t>
            </w:r>
            <w:r>
              <w:rPr>
                <w:rFonts w:hint="eastAsia" w:ascii="宋体" w:hAnsi="宋体" w:eastAsia="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rPr>
              <w:t xml:space="preserve">分。</w:t>
            </w:r>
            <w:r/>
          </w:p>
          <w:p>
            <w:pPr>
              <w:jc w:val="both"/>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1.方案</w:t>
            </w:r>
            <w:r>
              <w:rPr>
                <w:rFonts w:hint="eastAsia" w:ascii="宋体" w:hAnsi="宋体" w:eastAsia="宋体" w:cs="宋体"/>
                <w:color w:val="auto"/>
                <w:sz w:val="21"/>
                <w:szCs w:val="21"/>
                <w:highlight w:val="none"/>
                <w:lang w:eastAsia="zh-CN"/>
              </w:rPr>
              <w:t xml:space="preserve">完整、合理、可行、周全</w:t>
            </w:r>
            <w:r>
              <w:rPr>
                <w:rFonts w:hint="eastAsia" w:ascii="宋体" w:hAnsi="宋体" w:eastAsia="宋体" w:cs="宋体"/>
                <w:color w:val="auto"/>
                <w:sz w:val="21"/>
                <w:szCs w:val="21"/>
                <w:highlight w:val="none"/>
              </w:rPr>
              <w:t xml:space="preserve">且贴切本项目实际情况，得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jc w:val="both"/>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2.方案</w:t>
            </w:r>
            <w:r>
              <w:rPr>
                <w:rFonts w:hint="eastAsia" w:ascii="宋体" w:hAnsi="宋体" w:eastAsia="宋体" w:cs="宋体"/>
                <w:color w:val="auto"/>
                <w:sz w:val="21"/>
                <w:szCs w:val="21"/>
                <w:highlight w:val="none"/>
                <w:lang w:eastAsia="zh-CN"/>
              </w:rPr>
              <w:t xml:space="preserve">较完整、较合理、基本可行</w:t>
            </w:r>
            <w:r>
              <w:rPr>
                <w:rFonts w:hint="eastAsia" w:ascii="宋体" w:hAnsi="宋体" w:eastAsia="宋体" w:cs="宋体"/>
                <w:color w:val="auto"/>
                <w:sz w:val="21"/>
                <w:szCs w:val="21"/>
                <w:highlight w:val="none"/>
              </w:rPr>
              <w:t xml:space="preserve">或方案简要但贴切针对本项目实际情况，得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jc w:val="both"/>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3.方案</w:t>
            </w:r>
            <w:r>
              <w:rPr>
                <w:rFonts w:hint="eastAsia" w:ascii="宋体" w:hAnsi="宋体" w:eastAsia="宋体" w:cs="宋体"/>
                <w:color w:val="auto"/>
                <w:sz w:val="21"/>
                <w:szCs w:val="21"/>
                <w:highlight w:val="none"/>
                <w:lang w:eastAsia="zh-CN"/>
              </w:rPr>
              <w:t xml:space="preserve">稍欠缺，合理、可行</w:t>
            </w:r>
            <w:r>
              <w:rPr>
                <w:rFonts w:hint="eastAsia" w:ascii="宋体" w:hAnsi="宋体" w:eastAsia="宋体" w:cs="宋体"/>
                <w:color w:val="auto"/>
                <w:sz w:val="21"/>
                <w:szCs w:val="21"/>
                <w:highlight w:val="none"/>
              </w:rPr>
              <w:t xml:space="preserve">性不强、与采购需求有偏离，得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pStyle w:val="990"/>
              <w:ind w:firstLine="0"/>
              <w:jc w:val="both"/>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4.方案</w:t>
            </w:r>
            <w:r>
              <w:rPr>
                <w:rFonts w:hint="eastAsia" w:ascii="宋体" w:hAnsi="宋体" w:eastAsia="宋体" w:cs="宋体"/>
                <w:color w:val="auto"/>
                <w:sz w:val="21"/>
                <w:szCs w:val="21"/>
                <w:highlight w:val="none"/>
                <w:lang w:eastAsia="zh-CN"/>
              </w:rPr>
              <w:t xml:space="preserve">欠缺</w:t>
            </w:r>
            <w:r>
              <w:rPr>
                <w:rFonts w:hint="eastAsia" w:ascii="宋体" w:hAnsi="宋体" w:eastAsia="宋体" w:cs="宋体"/>
                <w:color w:val="auto"/>
                <w:sz w:val="21"/>
                <w:szCs w:val="21"/>
                <w:highlight w:val="none"/>
              </w:rPr>
              <w:t xml:space="preserve">且无</w:t>
            </w:r>
            <w:r>
              <w:rPr>
                <w:rFonts w:hint="eastAsia" w:ascii="宋体" w:hAnsi="宋体" w:eastAsia="宋体" w:cs="宋体"/>
                <w:color w:val="auto"/>
                <w:sz w:val="21"/>
                <w:szCs w:val="21"/>
                <w:highlight w:val="none"/>
                <w:lang w:eastAsia="zh-CN"/>
              </w:rPr>
              <w:t xml:space="preserve">合理、可行</w:t>
            </w:r>
            <w:r>
              <w:rPr>
                <w:rFonts w:hint="eastAsia" w:ascii="宋体" w:hAnsi="宋体" w:eastAsia="宋体" w:cs="宋体"/>
                <w:color w:val="auto"/>
                <w:sz w:val="21"/>
                <w:szCs w:val="21"/>
                <w:highlight w:val="none"/>
              </w:rPr>
              <w:t xml:space="preserve">性、与采购需求偏离</w:t>
            </w:r>
            <w:r>
              <w:rPr>
                <w:rFonts w:hint="eastAsia" w:ascii="宋体" w:hAnsi="宋体" w:eastAsia="宋体" w:cs="宋体"/>
                <w:color w:val="auto"/>
                <w:sz w:val="21"/>
                <w:szCs w:val="21"/>
                <w:highlight w:val="none"/>
                <w:lang w:eastAsia="zh-CN"/>
              </w:rPr>
              <w:t xml:space="preserve">较多</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pStyle w:val="990"/>
              <w:ind w:firstLine="0"/>
              <w:jc w:val="both"/>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不提供方案的不得分。</w:t>
            </w:r>
            <w:r/>
          </w:p>
        </w:tc>
      </w:tr>
      <w:tr>
        <w:trPr/>
        <w:tc>
          <w:tcPr>
            <w:tcW w:w="717"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062" w:type="dxa"/>
            <w:vAlign w:val="center"/>
            <w:textDirection w:val="lrTb"/>
            <w:noWrap w:val="false"/>
          </w:tcPr>
          <w:p>
            <w:pPr>
              <w:jc w:val="center"/>
              <w:keepLines w:val="0"/>
              <w:keepNext w:val="0"/>
              <w:pageBreakBefore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进度保障方案</w:t>
            </w:r>
            <w:r/>
          </w:p>
        </w:tc>
        <w:tc>
          <w:tcPr>
            <w:tcW w:w="706" w:type="dxa"/>
            <w:vAlign w:val="center"/>
            <w:textDirection w:val="lrTb"/>
            <w:noWrap w:val="false"/>
          </w:tcPr>
          <w:p>
            <w:pPr>
              <w:jc w:val="center"/>
              <w:keepLines w:val="0"/>
              <w:keepNext w:val="0"/>
              <w:pageBreakBefore w:val="0"/>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7994" w:type="dxa"/>
            <w:vAlign w:val="center"/>
            <w:textDirection w:val="lrTb"/>
            <w:noWrap w:val="false"/>
          </w:tcPr>
          <w:p>
            <w:pPr>
              <w:ind w:firstLine="28"/>
              <w:jc w:val="both"/>
              <w:keepLines w:val="0"/>
              <w:keepNext w:val="0"/>
              <w:pageBreakBefore w:val="0"/>
              <w:spacing w:line="42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需提供针对本项目的进度保障方案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包括但不限于项目实施时间表，工作周期安排及保证措施等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进行综合评审，</w:t>
            </w:r>
            <w:r>
              <w:rPr>
                <w:rFonts w:hint="eastAsia" w:ascii="宋体" w:hAnsi="宋体" w:eastAsia="宋体" w:cs="宋体"/>
                <w:b/>
                <w:bCs/>
                <w:color w:val="auto"/>
                <w:sz w:val="21"/>
                <w:szCs w:val="21"/>
                <w:highlight w:val="none"/>
              </w:rPr>
              <w:t xml:space="preserve">本项目最高得</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p>
          <w:p>
            <w:pPr>
              <w:jc w:val="both"/>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1.方案详细</w:t>
            </w:r>
            <w:r>
              <w:rPr>
                <w:rFonts w:hint="eastAsia" w:ascii="宋体" w:hAnsi="宋体" w:eastAsia="宋体" w:cs="宋体"/>
                <w:color w:val="auto"/>
                <w:sz w:val="21"/>
                <w:szCs w:val="21"/>
                <w:highlight w:val="none"/>
                <w:lang w:eastAsia="zh-CN"/>
              </w:rPr>
              <w:t xml:space="preserve">、完整</w:t>
            </w:r>
            <w:r>
              <w:rPr>
                <w:rFonts w:hint="eastAsia" w:ascii="宋体" w:hAnsi="宋体" w:eastAsia="宋体" w:cs="宋体"/>
                <w:color w:val="auto"/>
                <w:sz w:val="21"/>
                <w:szCs w:val="21"/>
                <w:highlight w:val="none"/>
              </w:rPr>
              <w:t xml:space="preserve">且贴切本项目实际情况，得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jc w:val="both"/>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2.方案详细但针对性不强或方案简要但贴切针对本项目实际情况，得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both"/>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3.方案简要且针对性不强、与采购需求有偏离，得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pStyle w:val="990"/>
              <w:ind w:firstLine="0"/>
              <w:jc w:val="both"/>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4.方案简要且无针对性、与采购需求偏离</w:t>
            </w:r>
            <w:r>
              <w:rPr>
                <w:rFonts w:hint="eastAsia" w:ascii="宋体" w:hAnsi="宋体" w:eastAsia="宋体" w:cs="宋体"/>
                <w:color w:val="auto"/>
                <w:sz w:val="21"/>
                <w:szCs w:val="21"/>
                <w:highlight w:val="none"/>
                <w:lang w:eastAsia="zh-CN"/>
              </w:rPr>
              <w:t xml:space="preserve">较多</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keepLines w:val="0"/>
              <w:keepNext w:val="0"/>
              <w:pageBreakBefore w:val="0"/>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不提供方案的不得分。</w:t>
            </w:r>
            <w:r/>
          </w:p>
        </w:tc>
      </w:tr>
      <w:tr>
        <w:trPr/>
        <w:tc>
          <w:tcPr>
            <w:tcW w:w="717"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062"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培训方案</w:t>
            </w:r>
            <w:r/>
          </w:p>
        </w:tc>
        <w:tc>
          <w:tcPr>
            <w:tcW w:w="706" w:type="dxa"/>
            <w:vAlign w:val="center"/>
            <w:textDirection w:val="lrTb"/>
            <w:noWrap w:val="false"/>
          </w:tcPr>
          <w:p>
            <w:pPr>
              <w:jc w:val="center"/>
              <w:keepLines w:val="0"/>
              <w:keepNext w:val="0"/>
              <w:pageBreakBefore w:val="0"/>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7994" w:type="dxa"/>
            <w:vAlign w:val="center"/>
            <w:textDirection w:val="lrTb"/>
            <w:noWrap w:val="false"/>
          </w:tcPr>
          <w:p>
            <w:pPr>
              <w:pStyle w:val="994"/>
              <w:ind w:left="0" w:firstLine="0"/>
              <w:keepLines w:val="0"/>
              <w:keepNext w:val="0"/>
              <w:pageBreakBefore w:val="0"/>
              <w:spacing w:line="42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需提供针对本项目的培训方案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包括但不限于培训计划、培训方式、人员安排等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进行综合评审，</w:t>
            </w:r>
            <w:r>
              <w:rPr>
                <w:rFonts w:hint="eastAsia" w:ascii="宋体" w:hAnsi="宋体" w:eastAsia="宋体" w:cs="宋体"/>
                <w:b/>
                <w:bCs/>
                <w:color w:val="auto"/>
                <w:sz w:val="21"/>
                <w:szCs w:val="21"/>
                <w:highlight w:val="none"/>
              </w:rPr>
              <w:t xml:space="preserve">本项目最高得</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分。</w:t>
            </w:r>
            <w:r/>
          </w:p>
          <w:p>
            <w:pPr>
              <w:jc w:val="both"/>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1.方案详细</w:t>
            </w:r>
            <w:r>
              <w:rPr>
                <w:rFonts w:hint="eastAsia" w:ascii="宋体" w:hAnsi="宋体" w:eastAsia="宋体" w:cs="宋体"/>
                <w:color w:val="auto"/>
                <w:sz w:val="21"/>
                <w:szCs w:val="21"/>
                <w:highlight w:val="none"/>
                <w:lang w:eastAsia="zh-CN"/>
              </w:rPr>
              <w:t xml:space="preserve">、完整</w:t>
            </w:r>
            <w:r>
              <w:rPr>
                <w:rFonts w:hint="eastAsia" w:ascii="宋体" w:hAnsi="宋体" w:eastAsia="宋体" w:cs="宋体"/>
                <w:color w:val="auto"/>
                <w:sz w:val="21"/>
                <w:szCs w:val="21"/>
                <w:highlight w:val="none"/>
              </w:rPr>
              <w:t xml:space="preserve">且贴切本项目实际情况，得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jc w:val="both"/>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2.方案详细但针对性不强或方案简要但贴切针对本项目实际情况，得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jc w:val="both"/>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3.方案简要且针对性不强、与采购需求有偏离，得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pStyle w:val="990"/>
              <w:ind w:firstLine="0"/>
              <w:jc w:val="both"/>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4.方案简要且无针对性、与采购需求偏离</w:t>
            </w:r>
            <w:r>
              <w:rPr>
                <w:rFonts w:hint="eastAsia" w:ascii="宋体" w:hAnsi="宋体" w:eastAsia="宋体" w:cs="宋体"/>
                <w:color w:val="auto"/>
                <w:sz w:val="21"/>
                <w:szCs w:val="21"/>
                <w:highlight w:val="none"/>
                <w:lang w:eastAsia="zh-CN"/>
              </w:rPr>
              <w:t xml:space="preserve">较多</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keepLines w:val="0"/>
              <w:keepNext w:val="0"/>
              <w:pageBreakBefore w:val="0"/>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不提供方案的不得分。</w:t>
            </w:r>
            <w:r/>
          </w:p>
        </w:tc>
      </w:tr>
      <w:tr>
        <w:trPr/>
        <w:tc>
          <w:tcPr>
            <w:tcW w:w="717"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tcW w:w="1062"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售后服务</w:t>
            </w:r>
            <w:r>
              <w:rPr>
                <w:rFonts w:hint="eastAsia" w:ascii="宋体" w:hAnsi="宋体" w:eastAsia="宋体" w:cs="宋体"/>
                <w:color w:val="auto"/>
                <w:sz w:val="21"/>
                <w:szCs w:val="21"/>
                <w:highlight w:val="none"/>
                <w:lang w:eastAsia="zh-CN"/>
              </w:rPr>
              <w:t xml:space="preserve">方案</w:t>
            </w:r>
            <w:r/>
          </w:p>
        </w:tc>
        <w:tc>
          <w:tcPr>
            <w:tcW w:w="706"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7994" w:type="dxa"/>
            <w:vAlign w:val="center"/>
            <w:textDirection w:val="lrTb"/>
            <w:noWrap w:val="false"/>
          </w:tcPr>
          <w:p>
            <w:pPr>
              <w:pStyle w:val="994"/>
              <w:ind w:left="0" w:firstLine="0"/>
              <w:keepLines w:val="0"/>
              <w:keepNext w:val="0"/>
              <w:pageBreakBefore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需提供针对本项目的</w:t>
            </w:r>
            <w:r>
              <w:rPr>
                <w:rFonts w:hint="eastAsia" w:ascii="宋体" w:hAnsi="宋体" w:eastAsia="宋体" w:cs="宋体"/>
                <w:color w:val="auto"/>
                <w:sz w:val="21"/>
                <w:szCs w:val="21"/>
                <w:highlight w:val="none"/>
              </w:rPr>
              <w:t xml:space="preserve">售后服务</w:t>
            </w:r>
            <w:r>
              <w:rPr>
                <w:rFonts w:hint="eastAsia" w:ascii="宋体" w:hAnsi="宋体" w:eastAsia="宋体" w:cs="宋体"/>
                <w:color w:val="auto"/>
                <w:sz w:val="21"/>
                <w:szCs w:val="21"/>
                <w:highlight w:val="none"/>
                <w:lang w:eastAsia="zh-CN"/>
              </w:rPr>
              <w:t xml:space="preserve">方案</w:t>
            </w:r>
            <w:r>
              <w:rPr>
                <w:rFonts w:hint="eastAsia" w:ascii="宋体" w:hAnsi="宋体" w:eastAsia="宋体" w:cs="宋体"/>
                <w:color w:val="auto"/>
                <w:sz w:val="21"/>
                <w:szCs w:val="21"/>
                <w:highlight w:val="none"/>
              </w:rPr>
              <w:t xml:space="preserve">，包括但不限于故障响应时间、到达故障现场时间、故障修复时间、定期维护等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进行综合评审，</w:t>
            </w:r>
            <w:r>
              <w:rPr>
                <w:rFonts w:hint="eastAsia" w:ascii="宋体" w:hAnsi="宋体" w:eastAsia="宋体" w:cs="宋体"/>
                <w:b/>
                <w:bCs/>
                <w:color w:val="auto"/>
                <w:sz w:val="21"/>
                <w:szCs w:val="21"/>
                <w:highlight w:val="none"/>
              </w:rPr>
              <w:t xml:space="preserve">本项目最高得</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p>
          <w:p>
            <w:pPr>
              <w:jc w:val="both"/>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1.方案详细</w:t>
            </w:r>
            <w:r>
              <w:rPr>
                <w:rFonts w:hint="eastAsia" w:ascii="宋体" w:hAnsi="宋体" w:eastAsia="宋体" w:cs="宋体"/>
                <w:color w:val="auto"/>
                <w:sz w:val="21"/>
                <w:szCs w:val="21"/>
                <w:highlight w:val="none"/>
                <w:lang w:eastAsia="zh-CN"/>
              </w:rPr>
              <w:t xml:space="preserve">、完整</w:t>
            </w:r>
            <w:r>
              <w:rPr>
                <w:rFonts w:hint="eastAsia" w:ascii="宋体" w:hAnsi="宋体" w:eastAsia="宋体" w:cs="宋体"/>
                <w:color w:val="auto"/>
                <w:sz w:val="21"/>
                <w:szCs w:val="21"/>
                <w:highlight w:val="none"/>
              </w:rPr>
              <w:t xml:space="preserve">且贴切本项目实际情况</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易于落实，得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jc w:val="both"/>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2.方案详细但针对性不强或方案简要但贴切针对本项目实际情况，得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both"/>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3.方案简要且针对性不强、与采购需求有偏离，得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pStyle w:val="990"/>
              <w:ind w:firstLine="0"/>
              <w:jc w:val="both"/>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4.方案简要且无针对性、与采购需求偏离</w:t>
            </w:r>
            <w:r>
              <w:rPr>
                <w:rFonts w:hint="eastAsia" w:ascii="宋体" w:hAnsi="宋体" w:eastAsia="宋体" w:cs="宋体"/>
                <w:color w:val="auto"/>
                <w:sz w:val="21"/>
                <w:szCs w:val="21"/>
                <w:highlight w:val="none"/>
                <w:lang w:eastAsia="zh-CN"/>
              </w:rPr>
              <w:t xml:space="preserve">较多</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both"/>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不提供方案的不得分。</w:t>
            </w:r>
            <w:bookmarkEnd w:id="232"/>
            <w:r/>
            <w:r/>
          </w:p>
        </w:tc>
      </w:tr>
      <w:tr>
        <w:trPr/>
        <w:tc>
          <w:tcPr>
            <w:tcW w:w="717"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062"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客观分</w:t>
            </w:r>
            <w:r/>
          </w:p>
        </w:tc>
        <w:tc>
          <w:tcPr>
            <w:tcW w:w="706"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57</w:t>
            </w:r>
            <w:r/>
          </w:p>
        </w:tc>
        <w:tc>
          <w:tcPr>
            <w:tcW w:w="7994" w:type="dxa"/>
            <w:vAlign w:val="center"/>
            <w:textDirection w:val="lrTb"/>
            <w:noWrap w:val="false"/>
          </w:tcPr>
          <w:p>
            <w:pPr>
              <w:jc w:val="both"/>
              <w:keepLines w:val="0"/>
              <w:keepNext w:val="0"/>
              <w:pageBreakBefore w:val="0"/>
              <w:spacing w:line="42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tc>
          <w:tcPr>
            <w:tcW w:w="717"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W w:w="1062"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tc>
        <w:tc>
          <w:tcPr>
            <w:tcW w:w="706"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p>
        </w:tc>
        <w:tc>
          <w:tcPr>
            <w:tcW w:w="7994" w:type="dxa"/>
            <w:vAlign w:val="center"/>
            <w:textDirection w:val="lrTb"/>
            <w:noWrap w:val="false"/>
          </w:tcPr>
          <w:p>
            <w:pPr>
              <w:jc w:val="both"/>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自2022年10月1日至今（以签订合同时间为准），具有同类项目业绩，每提供一个得1分，</w:t>
            </w:r>
            <w:r>
              <w:rPr>
                <w:rFonts w:hint="eastAsia" w:ascii="宋体" w:hAnsi="宋体" w:eastAsia="宋体" w:cs="宋体"/>
                <w:b/>
                <w:bCs/>
                <w:color w:val="auto"/>
                <w:sz w:val="21"/>
                <w:szCs w:val="21"/>
                <w:highlight w:val="none"/>
              </w:rPr>
              <w:t xml:space="preserve">本项最高得</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分。同一项目业绩不同年度合同不累计得分</w:t>
            </w:r>
            <w:r>
              <w:rPr>
                <w:rFonts w:hint="eastAsia" w:ascii="宋体" w:hAnsi="宋体" w:eastAsia="宋体" w:cs="宋体"/>
                <w:b/>
                <w:bCs/>
                <w:color w:val="auto"/>
                <w:sz w:val="21"/>
                <w:szCs w:val="21"/>
                <w:highlight w:val="none"/>
                <w:lang w:eastAsia="zh-CN"/>
              </w:rPr>
              <w:t xml:space="preserve">。</w:t>
            </w:r>
            <w:r/>
          </w:p>
          <w:p>
            <w:pPr>
              <w:jc w:val="both"/>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auto"/>
                <w:sz w:val="21"/>
                <w:szCs w:val="21"/>
                <w:highlight w:val="none"/>
                <w:lang w:eastAsia="zh-CN"/>
              </w:rPr>
              <w:t xml:space="preserve">投标文件</w:t>
            </w:r>
            <w:r>
              <w:rPr>
                <w:rFonts w:hint="eastAsia" w:ascii="宋体" w:hAnsi="宋体" w:eastAsia="宋体" w:cs="宋体"/>
                <w:b/>
                <w:bCs/>
                <w:color w:val="auto"/>
                <w:sz w:val="21"/>
                <w:szCs w:val="21"/>
                <w:highlight w:val="none"/>
              </w:rPr>
              <w:t xml:space="preserve">中需提供合同</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所提供的合同必须具有合同双方签署页及合同签署双方的完整信息</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扫描件加盖</w:t>
            </w:r>
            <w:r>
              <w:rPr>
                <w:rFonts w:hint="eastAsia" w:ascii="宋体" w:hAnsi="宋体" w:eastAsia="宋体" w:cs="宋体"/>
                <w:b/>
                <w:bCs/>
                <w:color w:val="auto"/>
                <w:sz w:val="21"/>
                <w:szCs w:val="21"/>
                <w:highlight w:val="none"/>
                <w:lang w:eastAsia="zh-CN"/>
              </w:rPr>
              <w:t xml:space="preserve">投标人</w:t>
            </w:r>
            <w:r>
              <w:rPr>
                <w:rFonts w:hint="eastAsia" w:ascii="宋体" w:hAnsi="宋体" w:eastAsia="宋体" w:cs="宋体"/>
                <w:b/>
                <w:bCs/>
                <w:color w:val="auto"/>
                <w:sz w:val="21"/>
                <w:szCs w:val="21"/>
                <w:highlight w:val="none"/>
              </w:rPr>
              <w:t xml:space="preserve">公章，</w:t>
            </w:r>
            <w:r>
              <w:rPr>
                <w:rFonts w:hint="eastAsia" w:ascii="宋体" w:hAnsi="宋体" w:eastAsia="宋体" w:cs="宋体"/>
                <w:b/>
                <w:bCs w:val="0"/>
                <w:color w:val="auto"/>
                <w:sz w:val="21"/>
                <w:szCs w:val="21"/>
                <w:highlight w:val="none"/>
                <w:lang w:val="en-US" w:eastAsia="zh-CN"/>
              </w:rPr>
              <w:t xml:space="preserve">不提供不得分</w:t>
            </w:r>
            <w:r>
              <w:rPr>
                <w:rFonts w:hint="eastAsia" w:ascii="宋体" w:hAnsi="宋体" w:eastAsia="宋体" w:cs="宋体"/>
                <w:b/>
                <w:bCs/>
                <w:color w:val="auto"/>
                <w:sz w:val="21"/>
                <w:szCs w:val="21"/>
                <w:highlight w:val="none"/>
              </w:rPr>
              <w:t xml:space="preserve">。</w:t>
            </w:r>
            <w:r/>
          </w:p>
        </w:tc>
      </w:tr>
      <w:tr>
        <w:trPr/>
        <w:tc>
          <w:tcPr>
            <w:tcW w:w="717"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062"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软著证书</w:t>
            </w:r>
            <w:r/>
          </w:p>
        </w:tc>
        <w:tc>
          <w:tcPr>
            <w:tcW w:w="706"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7994" w:type="dxa"/>
            <w:vAlign w:val="center"/>
            <w:textDirection w:val="lrTb"/>
            <w:noWrap w:val="false"/>
          </w:tcPr>
          <w:p>
            <w:pPr>
              <w:keepLines w:val="0"/>
              <w:keepNext w:val="0"/>
              <w:pageBreakBefore w:val="0"/>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eastAsia="zh-CN"/>
              </w:rPr>
              <w:t xml:space="preserve">投标人</w:t>
            </w:r>
            <w:r>
              <w:rPr>
                <w:rFonts w:hint="eastAsia" w:ascii="宋体" w:hAnsi="宋体" w:eastAsia="宋体" w:cs="宋体"/>
                <w:bCs/>
                <w:color w:val="auto"/>
                <w:sz w:val="21"/>
                <w:szCs w:val="21"/>
                <w:highlight w:val="none"/>
              </w:rPr>
              <w:t xml:space="preserve">所投产品应具有自有知识产权</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需提供如下计算机软件著作权登记证书</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智慧教学系统、数字教材平台、虚拟教研室平台、智能体、内容安全审核的计算机软件著作权登记证书（或实质性等同的证书）</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每提供</w:t>
            </w:r>
            <w:r>
              <w:rPr>
                <w:rFonts w:hint="eastAsia" w:ascii="宋体" w:hAnsi="宋体" w:eastAsia="宋体" w:cs="宋体"/>
                <w:color w:val="auto"/>
                <w:sz w:val="21"/>
                <w:szCs w:val="21"/>
                <w:highlight w:val="none"/>
                <w:lang w:eastAsia="zh-CN"/>
              </w:rPr>
              <w:t xml:space="preserve">一</w:t>
            </w:r>
            <w:r>
              <w:rPr>
                <w:rFonts w:hint="eastAsia" w:ascii="宋体" w:hAnsi="宋体" w:eastAsia="宋体" w:cs="宋体"/>
                <w:color w:val="auto"/>
                <w:sz w:val="21"/>
                <w:szCs w:val="21"/>
                <w:highlight w:val="none"/>
              </w:rPr>
              <w:t xml:space="preserve">个得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lang w:eastAsia="zh-CN"/>
              </w:rPr>
              <w:t xml:space="preserve">本项</w:t>
            </w:r>
            <w:r>
              <w:rPr>
                <w:rFonts w:hint="eastAsia" w:ascii="宋体" w:hAnsi="宋体" w:eastAsia="宋体" w:cs="宋体"/>
                <w:b/>
                <w:bCs/>
                <w:color w:val="auto"/>
                <w:sz w:val="21"/>
                <w:szCs w:val="21"/>
                <w:highlight w:val="none"/>
              </w:rPr>
              <w:t xml:space="preserve">最高得</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jc w:val="both"/>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b/>
                <w:bCs w:val="0"/>
                <w:color w:val="auto"/>
                <w:sz w:val="21"/>
                <w:szCs w:val="21"/>
                <w:highlight w:val="none"/>
              </w:rPr>
              <w:t xml:space="preserve">注:</w:t>
            </w:r>
            <w:r>
              <w:rPr>
                <w:rFonts w:hint="eastAsia" w:ascii="宋体" w:hAnsi="宋体" w:eastAsia="宋体" w:cs="宋体"/>
                <w:b/>
                <w:bCs w:val="0"/>
                <w:color w:val="auto"/>
                <w:sz w:val="21"/>
                <w:szCs w:val="21"/>
                <w:highlight w:val="none"/>
                <w:lang w:eastAsia="zh-CN"/>
              </w:rPr>
              <w:t xml:space="preserve">投标文件</w:t>
            </w:r>
            <w:r>
              <w:rPr>
                <w:rFonts w:hint="eastAsia" w:ascii="宋体" w:hAnsi="宋体" w:eastAsia="宋体" w:cs="宋体"/>
                <w:b/>
                <w:bCs w:val="0"/>
                <w:color w:val="auto"/>
                <w:sz w:val="21"/>
                <w:szCs w:val="21"/>
                <w:highlight w:val="none"/>
              </w:rPr>
              <w:t xml:space="preserve">中需</w:t>
            </w:r>
            <w:r>
              <w:rPr>
                <w:rFonts w:hint="eastAsia" w:ascii="宋体" w:hAnsi="宋体" w:eastAsia="宋体" w:cs="宋体"/>
                <w:b/>
                <w:bCs w:val="0"/>
                <w:color w:val="auto"/>
                <w:sz w:val="21"/>
                <w:szCs w:val="21"/>
                <w:highlight w:val="none"/>
              </w:rPr>
              <w:t xml:space="preserve">提供</w:t>
            </w:r>
            <w:r>
              <w:rPr>
                <w:rFonts w:hint="eastAsia" w:ascii="宋体" w:hAnsi="宋体" w:eastAsia="宋体" w:cs="宋体"/>
                <w:b/>
                <w:bCs w:val="0"/>
                <w:color w:val="auto"/>
                <w:sz w:val="21"/>
                <w:szCs w:val="21"/>
                <w:highlight w:val="none"/>
                <w:lang w:eastAsia="zh-CN"/>
              </w:rPr>
              <w:t xml:space="preserve">以上有效的</w:t>
            </w:r>
            <w:r>
              <w:rPr>
                <w:rFonts w:hint="eastAsia" w:ascii="宋体" w:hAnsi="宋体" w:eastAsia="宋体" w:cs="宋体"/>
                <w:b/>
                <w:bCs w:val="0"/>
                <w:color w:val="auto"/>
                <w:sz w:val="21"/>
                <w:szCs w:val="21"/>
                <w:highlight w:val="none"/>
              </w:rPr>
              <w:t xml:space="preserve">证书</w:t>
            </w:r>
            <w:r>
              <w:rPr>
                <w:rFonts w:hint="eastAsia" w:ascii="宋体" w:hAnsi="宋体" w:eastAsia="宋体" w:cs="宋体"/>
                <w:b/>
                <w:bCs w:val="0"/>
                <w:color w:val="auto"/>
                <w:sz w:val="21"/>
                <w:szCs w:val="21"/>
                <w:highlight w:val="none"/>
                <w:lang w:eastAsia="zh-CN"/>
              </w:rPr>
              <w:t xml:space="preserve">扫描件</w:t>
            </w:r>
            <w:r>
              <w:rPr>
                <w:rFonts w:hint="eastAsia" w:ascii="宋体" w:hAnsi="宋体" w:eastAsia="宋体" w:cs="宋体"/>
                <w:b/>
                <w:bCs w:val="0"/>
                <w:color w:val="auto"/>
                <w:sz w:val="21"/>
                <w:szCs w:val="21"/>
                <w:highlight w:val="none"/>
              </w:rPr>
              <w:t xml:space="preserve">加盖</w:t>
            </w:r>
            <w:r>
              <w:rPr>
                <w:rFonts w:hint="eastAsia" w:ascii="宋体" w:hAnsi="宋体" w:eastAsia="宋体" w:cs="宋体"/>
                <w:b/>
                <w:bCs w:val="0"/>
                <w:color w:val="auto"/>
                <w:sz w:val="21"/>
                <w:szCs w:val="21"/>
                <w:highlight w:val="none"/>
                <w:lang w:eastAsia="zh-CN"/>
              </w:rPr>
              <w:t xml:space="preserve">投标人</w:t>
            </w:r>
            <w:r>
              <w:rPr>
                <w:rFonts w:hint="eastAsia" w:ascii="宋体" w:hAnsi="宋体" w:eastAsia="宋体" w:cs="宋体"/>
                <w:b/>
                <w:bCs w:val="0"/>
                <w:color w:val="auto"/>
                <w:sz w:val="21"/>
                <w:szCs w:val="21"/>
                <w:highlight w:val="none"/>
              </w:rPr>
              <w:t xml:space="preserve">公章，</w:t>
            </w:r>
            <w:r>
              <w:rPr>
                <w:rFonts w:hint="eastAsia" w:ascii="宋体" w:hAnsi="宋体" w:eastAsia="宋体" w:cs="宋体"/>
                <w:b/>
                <w:bCs w:val="0"/>
                <w:color w:val="auto"/>
                <w:sz w:val="21"/>
                <w:szCs w:val="21"/>
                <w:highlight w:val="none"/>
                <w:lang w:val="en-US" w:eastAsia="zh-CN"/>
              </w:rPr>
              <w:t xml:space="preserve">不提供不得分</w:t>
            </w:r>
            <w:r>
              <w:rPr>
                <w:rFonts w:hint="eastAsia" w:ascii="宋体" w:hAnsi="宋体" w:eastAsia="宋体" w:cs="宋体"/>
                <w:b/>
                <w:bCs w:val="0"/>
                <w:color w:val="auto"/>
                <w:sz w:val="21"/>
                <w:szCs w:val="21"/>
                <w:highlight w:val="none"/>
              </w:rPr>
              <w:t xml:space="preserve">。</w:t>
            </w:r>
            <w:r/>
          </w:p>
        </w:tc>
      </w:tr>
      <w:tr>
        <w:trPr/>
        <w:tc>
          <w:tcPr>
            <w:tcW w:w="717"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062"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综合实力</w:t>
            </w:r>
            <w:r/>
          </w:p>
        </w:tc>
        <w:tc>
          <w:tcPr>
            <w:tcW w:w="706"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7994" w:type="dxa"/>
            <w:vAlign w:val="center"/>
            <w:textDirection w:val="lrTb"/>
            <w:noWrap w:val="false"/>
          </w:tcPr>
          <w:p>
            <w:pPr>
              <w:jc w:val="both"/>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具有</w:t>
            </w:r>
            <w:r>
              <w:rPr>
                <w:rFonts w:hint="eastAsia" w:ascii="宋体" w:hAnsi="宋体" w:eastAsia="宋体" w:cs="宋体"/>
                <w:color w:val="auto"/>
                <w:sz w:val="21"/>
                <w:szCs w:val="21"/>
                <w:highlight w:val="none"/>
                <w:lang w:eastAsia="zh-CN"/>
              </w:rPr>
              <w:t xml:space="preserve">有效的</w:t>
            </w:r>
            <w:r>
              <w:rPr>
                <w:rFonts w:hint="eastAsia" w:ascii="宋体" w:hAnsi="宋体" w:eastAsia="宋体" w:cs="宋体"/>
                <w:color w:val="auto"/>
                <w:sz w:val="21"/>
                <w:szCs w:val="21"/>
                <w:highlight w:val="none"/>
              </w:rPr>
              <w:t xml:space="preserve">中国网络安全审查技术与认证中心颁发的APP安全认证证书的得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both"/>
              <w:keepLines w:val="0"/>
              <w:keepNext w:val="0"/>
              <w:pageBreakBefore w:val="0"/>
              <w:spacing w:line="42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提供</w:t>
            </w:r>
            <w:r>
              <w:rPr>
                <w:rFonts w:hint="eastAsia" w:ascii="宋体" w:hAnsi="宋体" w:eastAsia="宋体" w:cs="宋体"/>
                <w:color w:val="auto"/>
                <w:sz w:val="21"/>
                <w:szCs w:val="21"/>
                <w:highlight w:val="none"/>
                <w:lang w:eastAsia="zh-CN"/>
              </w:rPr>
              <w:t xml:space="preserve">有效的</w:t>
            </w:r>
            <w:r>
              <w:rPr>
                <w:rFonts w:hint="eastAsia" w:ascii="宋体" w:hAnsi="宋体" w:eastAsia="宋体" w:cs="宋体"/>
                <w:color w:val="auto"/>
                <w:sz w:val="21"/>
                <w:szCs w:val="21"/>
                <w:highlight w:val="none"/>
              </w:rPr>
              <w:t xml:space="preserve">CMMI5级软件能力成熟度集成模型认证证书的得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分；提供</w:t>
            </w:r>
            <w:r>
              <w:rPr>
                <w:rFonts w:hint="eastAsia" w:ascii="宋体" w:hAnsi="宋体" w:eastAsia="宋体" w:cs="宋体"/>
                <w:color w:val="auto"/>
                <w:sz w:val="21"/>
                <w:szCs w:val="21"/>
                <w:highlight w:val="none"/>
                <w:lang w:eastAsia="zh-CN"/>
              </w:rPr>
              <w:t xml:space="preserve">有效的</w:t>
            </w:r>
            <w:r>
              <w:rPr>
                <w:rFonts w:hint="eastAsia" w:ascii="宋体" w:hAnsi="宋体" w:eastAsia="宋体" w:cs="宋体"/>
                <w:color w:val="auto"/>
                <w:sz w:val="21"/>
                <w:szCs w:val="21"/>
                <w:highlight w:val="none"/>
              </w:rPr>
              <w:t xml:space="preserve">CMMI4级软件能力成熟度集成模型认证证书的得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分；提供</w:t>
            </w:r>
            <w:r>
              <w:rPr>
                <w:rFonts w:hint="eastAsia" w:ascii="宋体" w:hAnsi="宋体" w:eastAsia="宋体" w:cs="宋体"/>
                <w:color w:val="auto"/>
                <w:sz w:val="21"/>
                <w:szCs w:val="21"/>
                <w:highlight w:val="none"/>
                <w:lang w:eastAsia="zh-CN"/>
              </w:rPr>
              <w:t xml:space="preserve">有效的</w:t>
            </w:r>
            <w:r>
              <w:rPr>
                <w:rFonts w:hint="eastAsia" w:ascii="宋体" w:hAnsi="宋体" w:eastAsia="宋体" w:cs="宋体"/>
                <w:color w:val="auto"/>
                <w:sz w:val="21"/>
                <w:szCs w:val="21"/>
                <w:highlight w:val="none"/>
              </w:rPr>
              <w:t xml:space="preserve">CMMI3级软件能力成熟度集成模型认证证书的得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jc w:val="both"/>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拥有自研大模型，且完成备案并公示的得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jc w:val="both"/>
              <w:keepLines w:val="0"/>
              <w:keepNext w:val="0"/>
              <w:pageBreakBefore w:val="0"/>
              <w:spacing w:line="42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val="0"/>
                <w:color w:val="auto"/>
                <w:sz w:val="21"/>
                <w:szCs w:val="21"/>
                <w:highlight w:val="none"/>
              </w:rPr>
              <w:t xml:space="preserve">注:</w:t>
            </w:r>
            <w:r>
              <w:rPr>
                <w:rFonts w:hint="eastAsia" w:ascii="宋体" w:hAnsi="宋体" w:eastAsia="宋体" w:cs="宋体"/>
                <w:b/>
                <w:bCs w:val="0"/>
                <w:color w:val="auto"/>
                <w:sz w:val="21"/>
                <w:szCs w:val="21"/>
                <w:highlight w:val="none"/>
                <w:lang w:eastAsia="zh-CN"/>
              </w:rPr>
              <w:t xml:space="preserve">投标文件</w:t>
            </w:r>
            <w:r>
              <w:rPr>
                <w:rFonts w:hint="eastAsia" w:ascii="宋体" w:hAnsi="宋体" w:eastAsia="宋体" w:cs="宋体"/>
                <w:b/>
                <w:bCs w:val="0"/>
                <w:color w:val="auto"/>
                <w:sz w:val="21"/>
                <w:szCs w:val="21"/>
                <w:highlight w:val="none"/>
              </w:rPr>
              <w:t xml:space="preserve">中</w:t>
            </w:r>
            <w:r>
              <w:rPr>
                <w:rFonts w:hint="eastAsia" w:ascii="宋体" w:hAnsi="宋体" w:eastAsia="宋体" w:cs="宋体"/>
                <w:b/>
                <w:bCs w:val="0"/>
                <w:color w:val="auto"/>
                <w:sz w:val="21"/>
                <w:szCs w:val="21"/>
                <w:highlight w:val="none"/>
                <w:lang w:eastAsia="zh-CN"/>
              </w:rPr>
              <w:t xml:space="preserve">序号（</w:t>
            </w:r>
            <w:r>
              <w:rPr>
                <w:rFonts w:hint="eastAsia" w:ascii="宋体" w:hAnsi="宋体" w:eastAsia="宋体" w:cs="宋体"/>
                <w:b/>
                <w:bCs w:val="0"/>
                <w:color w:val="auto"/>
                <w:sz w:val="21"/>
                <w:szCs w:val="21"/>
                <w:highlight w:val="none"/>
                <w:lang w:val="en-US" w:eastAsia="zh-CN"/>
              </w:rPr>
              <w:t xml:space="preserve">1</w:t>
            </w:r>
            <w:r>
              <w:rPr>
                <w:rFonts w:hint="eastAsia" w:ascii="宋体" w:hAnsi="宋体" w:eastAsia="宋体" w:cs="宋体"/>
                <w:b/>
                <w:bCs w:val="0"/>
                <w:color w:val="auto"/>
                <w:sz w:val="21"/>
                <w:szCs w:val="21"/>
                <w:highlight w:val="none"/>
                <w:lang w:eastAsia="zh-CN"/>
              </w:rPr>
              <w:t xml:space="preserve">）（</w:t>
            </w:r>
            <w:r>
              <w:rPr>
                <w:rFonts w:hint="eastAsia" w:ascii="宋体" w:hAnsi="宋体" w:eastAsia="宋体" w:cs="宋体"/>
                <w:b/>
                <w:bCs w:val="0"/>
                <w:color w:val="auto"/>
                <w:sz w:val="21"/>
                <w:szCs w:val="21"/>
                <w:highlight w:val="none"/>
                <w:lang w:val="en-US" w:eastAsia="zh-CN"/>
              </w:rPr>
              <w:t xml:space="preserve">2</w:t>
            </w:r>
            <w:r>
              <w:rPr>
                <w:rFonts w:hint="eastAsia" w:ascii="宋体" w:hAnsi="宋体" w:eastAsia="宋体" w:cs="宋体"/>
                <w:b/>
                <w:bCs w:val="0"/>
                <w:color w:val="auto"/>
                <w:sz w:val="21"/>
                <w:szCs w:val="21"/>
                <w:highlight w:val="none"/>
                <w:lang w:eastAsia="zh-CN"/>
              </w:rPr>
              <w:t xml:space="preserve">）</w:t>
            </w:r>
            <w:r>
              <w:rPr>
                <w:rFonts w:hint="eastAsia" w:ascii="宋体" w:hAnsi="宋体" w:eastAsia="宋体" w:cs="宋体"/>
                <w:b/>
                <w:bCs w:val="0"/>
                <w:color w:val="auto"/>
                <w:sz w:val="21"/>
                <w:szCs w:val="21"/>
                <w:highlight w:val="none"/>
              </w:rPr>
              <w:t xml:space="preserve">需</w:t>
            </w:r>
            <w:r>
              <w:rPr>
                <w:rFonts w:hint="eastAsia" w:ascii="宋体" w:hAnsi="宋体" w:eastAsia="宋体" w:cs="宋体"/>
                <w:b/>
                <w:bCs w:val="0"/>
                <w:color w:val="auto"/>
                <w:sz w:val="21"/>
                <w:szCs w:val="21"/>
                <w:highlight w:val="none"/>
              </w:rPr>
              <w:t xml:space="preserve">提供</w:t>
            </w:r>
            <w:r>
              <w:rPr>
                <w:rFonts w:hint="eastAsia" w:ascii="宋体" w:hAnsi="宋体" w:eastAsia="宋体" w:cs="宋体"/>
                <w:b/>
                <w:bCs w:val="0"/>
                <w:color w:val="auto"/>
                <w:sz w:val="21"/>
                <w:szCs w:val="21"/>
                <w:highlight w:val="none"/>
                <w:lang w:eastAsia="zh-CN"/>
              </w:rPr>
              <w:t xml:space="preserve">有效的</w:t>
            </w:r>
            <w:r>
              <w:rPr>
                <w:rFonts w:hint="eastAsia" w:ascii="宋体" w:hAnsi="宋体" w:eastAsia="宋体" w:cs="宋体"/>
                <w:b/>
                <w:bCs w:val="0"/>
                <w:color w:val="auto"/>
                <w:sz w:val="21"/>
                <w:szCs w:val="21"/>
                <w:highlight w:val="none"/>
              </w:rPr>
              <w:t xml:space="preserve">证书</w:t>
            </w:r>
            <w:r>
              <w:rPr>
                <w:rFonts w:hint="eastAsia" w:ascii="宋体" w:hAnsi="宋体" w:eastAsia="宋体" w:cs="宋体"/>
                <w:b/>
                <w:bCs w:val="0"/>
                <w:color w:val="auto"/>
                <w:sz w:val="21"/>
                <w:szCs w:val="21"/>
                <w:highlight w:val="none"/>
                <w:lang w:eastAsia="zh-CN"/>
              </w:rPr>
              <w:t xml:space="preserve">扫描件</w:t>
            </w:r>
            <w:r>
              <w:rPr>
                <w:rFonts w:hint="eastAsia" w:ascii="宋体" w:hAnsi="宋体" w:eastAsia="宋体" w:cs="宋体"/>
                <w:b/>
                <w:bCs w:val="0"/>
                <w:color w:val="auto"/>
                <w:sz w:val="21"/>
                <w:szCs w:val="21"/>
                <w:highlight w:val="none"/>
              </w:rPr>
              <w:t xml:space="preserve">加盖</w:t>
            </w:r>
            <w:r>
              <w:rPr>
                <w:rFonts w:hint="eastAsia" w:ascii="宋体" w:hAnsi="宋体" w:eastAsia="宋体" w:cs="宋体"/>
                <w:b/>
                <w:bCs w:val="0"/>
                <w:color w:val="auto"/>
                <w:sz w:val="21"/>
                <w:szCs w:val="21"/>
                <w:highlight w:val="none"/>
                <w:lang w:eastAsia="zh-CN"/>
              </w:rPr>
              <w:t xml:space="preserve">投标人</w:t>
            </w:r>
            <w:r>
              <w:rPr>
                <w:rFonts w:hint="eastAsia" w:ascii="宋体" w:hAnsi="宋体" w:eastAsia="宋体" w:cs="宋体"/>
                <w:b/>
                <w:bCs w:val="0"/>
                <w:color w:val="auto"/>
                <w:sz w:val="21"/>
                <w:szCs w:val="21"/>
                <w:highlight w:val="none"/>
              </w:rPr>
              <w:t xml:space="preserve">公章，</w:t>
            </w:r>
            <w:r>
              <w:rPr>
                <w:rFonts w:hint="eastAsia" w:ascii="宋体" w:hAnsi="宋体" w:eastAsia="宋体" w:cs="宋体"/>
                <w:b/>
                <w:bCs w:val="0"/>
                <w:color w:val="auto"/>
                <w:sz w:val="21"/>
                <w:szCs w:val="21"/>
                <w:highlight w:val="none"/>
                <w:lang w:eastAsia="zh-CN"/>
              </w:rPr>
              <w:t xml:space="preserve">序号（</w:t>
            </w:r>
            <w:r>
              <w:rPr>
                <w:rFonts w:hint="eastAsia" w:ascii="宋体" w:hAnsi="宋体" w:eastAsia="宋体" w:cs="宋体"/>
                <w:b/>
                <w:bCs w:val="0"/>
                <w:color w:val="auto"/>
                <w:sz w:val="21"/>
                <w:szCs w:val="21"/>
                <w:highlight w:val="none"/>
                <w:lang w:val="en-US" w:eastAsia="zh-CN"/>
              </w:rPr>
              <w:t xml:space="preserve">3</w:t>
            </w:r>
            <w:r>
              <w:rPr>
                <w:rFonts w:hint="eastAsia" w:ascii="宋体" w:hAnsi="宋体" w:eastAsia="宋体" w:cs="宋体"/>
                <w:b/>
                <w:bCs w:val="0"/>
                <w:color w:val="auto"/>
                <w:sz w:val="21"/>
                <w:szCs w:val="21"/>
                <w:highlight w:val="none"/>
                <w:lang w:eastAsia="zh-CN"/>
              </w:rPr>
              <w:t xml:space="preserve">）需提供证明材料扫描件</w:t>
            </w:r>
            <w:r>
              <w:rPr>
                <w:rFonts w:hint="eastAsia" w:ascii="宋体" w:hAnsi="宋体" w:eastAsia="宋体" w:cs="宋体"/>
                <w:b/>
                <w:bCs w:val="0"/>
                <w:color w:val="auto"/>
                <w:sz w:val="21"/>
                <w:szCs w:val="21"/>
                <w:highlight w:val="none"/>
              </w:rPr>
              <w:t xml:space="preserve">加盖</w:t>
            </w:r>
            <w:r>
              <w:rPr>
                <w:rFonts w:hint="eastAsia" w:ascii="宋体" w:hAnsi="宋体" w:eastAsia="宋体" w:cs="宋体"/>
                <w:b/>
                <w:bCs w:val="0"/>
                <w:color w:val="auto"/>
                <w:sz w:val="21"/>
                <w:szCs w:val="21"/>
                <w:highlight w:val="none"/>
                <w:lang w:eastAsia="zh-CN"/>
              </w:rPr>
              <w:t xml:space="preserve">投标人</w:t>
            </w:r>
            <w:r>
              <w:rPr>
                <w:rFonts w:hint="eastAsia" w:ascii="宋体" w:hAnsi="宋体" w:eastAsia="宋体" w:cs="宋体"/>
                <w:b/>
                <w:bCs w:val="0"/>
                <w:color w:val="auto"/>
                <w:sz w:val="21"/>
                <w:szCs w:val="21"/>
                <w:highlight w:val="none"/>
              </w:rPr>
              <w:t xml:space="preserve">公章</w:t>
            </w:r>
            <w:r>
              <w:rPr>
                <w:rFonts w:hint="eastAsia" w:ascii="宋体" w:hAnsi="宋体" w:eastAsia="宋体" w:cs="宋体"/>
                <w:b/>
                <w:bCs w:val="0"/>
                <w:color w:val="auto"/>
                <w:sz w:val="21"/>
                <w:szCs w:val="21"/>
                <w:highlight w:val="none"/>
                <w:lang w:eastAsia="zh-CN"/>
              </w:rPr>
              <w:t xml:space="preserve">，</w:t>
            </w:r>
            <w:r>
              <w:rPr>
                <w:rFonts w:hint="eastAsia" w:ascii="宋体" w:hAnsi="宋体" w:eastAsia="宋体" w:cs="宋体"/>
                <w:b/>
                <w:bCs w:val="0"/>
                <w:color w:val="auto"/>
                <w:sz w:val="21"/>
                <w:szCs w:val="21"/>
                <w:highlight w:val="none"/>
                <w:lang w:val="en-US" w:eastAsia="zh-CN"/>
              </w:rPr>
              <w:t xml:space="preserve">不提供不得分</w:t>
            </w:r>
            <w:r>
              <w:rPr>
                <w:rFonts w:hint="eastAsia" w:ascii="宋体" w:hAnsi="宋体" w:eastAsia="宋体" w:cs="宋体"/>
                <w:b/>
                <w:color w:val="auto"/>
                <w:sz w:val="21"/>
                <w:szCs w:val="21"/>
                <w:highlight w:val="none"/>
              </w:rPr>
              <w:t xml:space="preserve">。</w:t>
            </w:r>
            <w:r/>
          </w:p>
        </w:tc>
      </w:tr>
      <w:tr>
        <w:trPr/>
        <w:tc>
          <w:tcPr>
            <w:tcW w:w="717"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062" w:type="dxa"/>
            <w:vAlign w:val="center"/>
            <w:textDirection w:val="lrTb"/>
            <w:noWrap w:val="false"/>
          </w:tcPr>
          <w:p>
            <w:pPr>
              <w:jc w:val="center"/>
              <w:keepLines w:val="0"/>
              <w:keepNext w:val="0"/>
              <w:pageBreakBefore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移动端</w:t>
            </w:r>
            <w:r/>
          </w:p>
          <w:p>
            <w:pPr>
              <w:jc w:val="center"/>
              <w:keepLines w:val="0"/>
              <w:keepNext w:val="0"/>
              <w:pageBreakBefore w:val="0"/>
              <w:spacing w:line="42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承诺函</w:t>
            </w:r>
            <w:r/>
          </w:p>
        </w:tc>
        <w:tc>
          <w:tcPr>
            <w:tcW w:w="706" w:type="dxa"/>
            <w:vAlign w:val="center"/>
            <w:textDirection w:val="lrTb"/>
            <w:noWrap w:val="false"/>
          </w:tcPr>
          <w:p>
            <w:pPr>
              <w:jc w:val="center"/>
              <w:keepLines w:val="0"/>
              <w:keepNext w:val="0"/>
              <w:pageBreakBefore w:val="0"/>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7994" w:type="dxa"/>
            <w:vAlign w:val="center"/>
            <w:textDirection w:val="lrTb"/>
            <w:noWrap w:val="false"/>
          </w:tcPr>
          <w:p>
            <w:pPr>
              <w:pStyle w:val="994"/>
              <w:ind w:left="0" w:firstLine="0"/>
              <w:keepLines w:val="0"/>
              <w:keepNext w:val="0"/>
              <w:pageBreakBefore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为方便使用者在学习、教学、管理角色中便捷切换，</w:t>
            </w:r>
            <w:r>
              <w:rPr>
                <w:rFonts w:hint="eastAsia" w:ascii="宋体" w:hAnsi="宋体" w:eastAsia="宋体" w:cs="宋体"/>
                <w:color w:val="auto"/>
                <w:sz w:val="21"/>
                <w:szCs w:val="21"/>
                <w:highlight w:val="none"/>
                <w:lang w:val="zh-CN"/>
              </w:rPr>
              <w:t xml:space="preserve">投标人</w:t>
            </w:r>
            <w:r>
              <w:rPr>
                <w:rFonts w:hint="eastAsia" w:ascii="宋体" w:hAnsi="宋体" w:eastAsia="宋体" w:cs="宋体"/>
                <w:color w:val="auto"/>
                <w:sz w:val="21"/>
                <w:szCs w:val="21"/>
                <w:highlight w:val="none"/>
              </w:rPr>
              <w:t xml:space="preserve">不得根据用户角色区分下载不同移动端APP，平台需满足</w:t>
            </w:r>
            <w:r>
              <w:rPr>
                <w:rFonts w:hint="eastAsia" w:ascii="宋体" w:hAnsi="宋体" w:eastAsia="宋体" w:cs="宋体"/>
                <w:color w:val="auto"/>
                <w:sz w:val="21"/>
                <w:szCs w:val="21"/>
                <w:highlight w:val="none"/>
                <w:lang w:val="zh-CN"/>
              </w:rPr>
              <w:t xml:space="preserve">学生、教师、管理员</w:t>
            </w:r>
            <w:r>
              <w:rPr>
                <w:rFonts w:hint="eastAsia" w:ascii="宋体" w:hAnsi="宋体" w:eastAsia="宋体" w:cs="宋体"/>
                <w:color w:val="auto"/>
                <w:sz w:val="21"/>
                <w:szCs w:val="21"/>
                <w:highlight w:val="none"/>
              </w:rPr>
              <w:t xml:space="preserve">角色</w:t>
            </w:r>
            <w:r>
              <w:rPr>
                <w:rFonts w:hint="eastAsia" w:ascii="宋体" w:hAnsi="宋体" w:eastAsia="宋体" w:cs="宋体"/>
                <w:color w:val="auto"/>
                <w:sz w:val="21"/>
                <w:szCs w:val="21"/>
                <w:highlight w:val="none"/>
                <w:lang w:val="zh-CN"/>
              </w:rPr>
              <w:t xml:space="preserve">下载同一个移动端APP完成教、学、管，</w:t>
            </w:r>
            <w:r>
              <w:rPr>
                <w:rFonts w:hint="eastAsia" w:ascii="宋体" w:hAnsi="宋体" w:eastAsia="宋体" w:cs="宋体"/>
                <w:b/>
                <w:bCs/>
                <w:color w:val="auto"/>
                <w:sz w:val="21"/>
                <w:szCs w:val="21"/>
                <w:highlight w:val="none"/>
                <w:lang w:eastAsia="zh-CN"/>
              </w:rPr>
              <w:t xml:space="preserve">完全满足得</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p>
          <w:p>
            <w:pPr>
              <w:pStyle w:val="994"/>
              <w:ind w:left="0" w:firstLine="0"/>
              <w:keepLines w:val="0"/>
              <w:keepNext w:val="0"/>
              <w:pageBreakBefore w:val="0"/>
              <w:spacing w:line="420" w:lineRule="exact"/>
              <w:rPr>
                <w:rFonts w:hint="eastAsia" w:ascii="宋体" w:hAnsi="宋体" w:eastAsia="宋体" w:cs="宋体"/>
                <w:color w:val="auto"/>
                <w:sz w:val="21"/>
                <w:szCs w:val="21"/>
                <w:highlight w:val="none"/>
                <w:lang w:eastAsia="zh-CN"/>
              </w:rPr>
            </w:pPr>
            <w:r>
              <w:rPr>
                <w:rFonts w:hint="eastAsia" w:ascii="宋体" w:hAnsi="宋体" w:eastAsia="宋体" w:cs="宋体"/>
                <w:b/>
                <w:bCs w:val="0"/>
                <w:color w:val="auto"/>
                <w:sz w:val="21"/>
                <w:szCs w:val="21"/>
                <w:highlight w:val="none"/>
              </w:rPr>
              <w:t xml:space="preserve">注:</w:t>
            </w:r>
            <w:r>
              <w:rPr>
                <w:rFonts w:hint="eastAsia" w:ascii="宋体" w:hAnsi="宋体" w:eastAsia="宋体" w:cs="宋体"/>
                <w:b/>
                <w:bCs w:val="0"/>
                <w:color w:val="auto"/>
                <w:sz w:val="21"/>
                <w:szCs w:val="21"/>
                <w:highlight w:val="none"/>
                <w:lang w:eastAsia="zh-CN"/>
              </w:rPr>
              <w:t xml:space="preserve">投标文件</w:t>
            </w:r>
            <w:r>
              <w:rPr>
                <w:rFonts w:hint="eastAsia" w:ascii="宋体" w:hAnsi="宋体" w:eastAsia="宋体" w:cs="宋体"/>
                <w:b/>
                <w:bCs w:val="0"/>
                <w:color w:val="auto"/>
                <w:sz w:val="21"/>
                <w:szCs w:val="21"/>
                <w:highlight w:val="none"/>
              </w:rPr>
              <w:t xml:space="preserve">中</w:t>
            </w:r>
            <w:r>
              <w:rPr>
                <w:rFonts w:hint="eastAsia" w:ascii="宋体" w:hAnsi="宋体" w:eastAsia="宋体" w:cs="宋体"/>
                <w:b/>
                <w:bCs w:val="0"/>
                <w:color w:val="auto"/>
                <w:sz w:val="21"/>
                <w:szCs w:val="21"/>
                <w:highlight w:val="none"/>
                <w:lang w:eastAsia="zh-CN"/>
              </w:rPr>
              <w:t xml:space="preserve">投标人需</w:t>
            </w:r>
            <w:r>
              <w:rPr>
                <w:rFonts w:hint="eastAsia" w:ascii="宋体" w:hAnsi="宋体" w:eastAsia="宋体" w:cs="宋体"/>
                <w:b/>
                <w:bCs w:val="0"/>
                <w:color w:val="auto"/>
                <w:sz w:val="21"/>
                <w:szCs w:val="21"/>
                <w:highlight w:val="none"/>
              </w:rPr>
              <w:t xml:space="preserve">提供满足该要求的唯一移动端APP名称、安卓版本和IOS版本APP上架截图证明</w:t>
            </w:r>
            <w:r>
              <w:rPr>
                <w:rFonts w:hint="eastAsia" w:ascii="宋体" w:hAnsi="宋体" w:eastAsia="宋体" w:cs="宋体"/>
                <w:b/>
                <w:bCs w:val="0"/>
                <w:color w:val="auto"/>
                <w:sz w:val="21"/>
                <w:szCs w:val="21"/>
                <w:highlight w:val="none"/>
                <w:lang w:eastAsia="zh-CN"/>
              </w:rPr>
              <w:t xml:space="preserve">扫描件</w:t>
            </w:r>
            <w:r>
              <w:rPr>
                <w:rFonts w:hint="eastAsia" w:ascii="宋体" w:hAnsi="宋体" w:eastAsia="宋体" w:cs="宋体"/>
                <w:b/>
                <w:bCs w:val="0"/>
                <w:color w:val="auto"/>
                <w:sz w:val="21"/>
                <w:szCs w:val="21"/>
                <w:highlight w:val="none"/>
              </w:rPr>
              <w:t xml:space="preserve">、满足该要求的承诺函</w:t>
            </w:r>
            <w:r>
              <w:rPr>
                <w:rFonts w:hint="eastAsia" w:ascii="宋体" w:hAnsi="宋体" w:eastAsia="宋体" w:cs="宋体"/>
                <w:b/>
                <w:bCs w:val="0"/>
                <w:color w:val="auto"/>
                <w:sz w:val="21"/>
                <w:szCs w:val="21"/>
                <w:highlight w:val="none"/>
                <w:lang w:eastAsia="zh-CN"/>
              </w:rPr>
              <w:t xml:space="preserve">（格式自拟）</w:t>
            </w:r>
            <w:r>
              <w:rPr>
                <w:rFonts w:hint="eastAsia" w:ascii="宋体" w:hAnsi="宋体" w:eastAsia="宋体" w:cs="宋体"/>
                <w:b/>
                <w:bCs w:val="0"/>
                <w:color w:val="auto"/>
                <w:sz w:val="21"/>
                <w:szCs w:val="21"/>
                <w:highlight w:val="none"/>
              </w:rPr>
              <w:t xml:space="preserve">并加盖</w:t>
            </w:r>
            <w:r>
              <w:rPr>
                <w:rFonts w:hint="eastAsia" w:ascii="宋体" w:hAnsi="宋体" w:eastAsia="宋体" w:cs="宋体"/>
                <w:b/>
                <w:bCs w:val="0"/>
                <w:color w:val="auto"/>
                <w:sz w:val="21"/>
                <w:szCs w:val="21"/>
                <w:highlight w:val="none"/>
                <w:lang w:eastAsia="zh-CN"/>
              </w:rPr>
              <w:t xml:space="preserve">投标人</w:t>
            </w:r>
            <w:r>
              <w:rPr>
                <w:rFonts w:hint="eastAsia" w:ascii="宋体" w:hAnsi="宋体" w:eastAsia="宋体" w:cs="宋体"/>
                <w:b/>
                <w:bCs w:val="0"/>
                <w:color w:val="auto"/>
                <w:sz w:val="21"/>
                <w:szCs w:val="21"/>
                <w:highlight w:val="none"/>
              </w:rPr>
              <w:t xml:space="preserve">公章，完全满足得</w:t>
            </w:r>
            <w:r>
              <w:rPr>
                <w:rFonts w:hint="eastAsia" w:ascii="宋体" w:hAnsi="宋体" w:eastAsia="宋体" w:cs="宋体"/>
                <w:b/>
                <w:bCs w:val="0"/>
                <w:color w:val="auto"/>
                <w:sz w:val="21"/>
                <w:szCs w:val="21"/>
                <w:highlight w:val="none"/>
                <w:lang w:val="en-US" w:eastAsia="zh-CN"/>
              </w:rPr>
              <w:t xml:space="preserve">8</w:t>
            </w:r>
            <w:r>
              <w:rPr>
                <w:rFonts w:hint="eastAsia" w:ascii="宋体" w:hAnsi="宋体" w:eastAsia="宋体" w:cs="宋体"/>
                <w:b/>
                <w:bCs w:val="0"/>
                <w:color w:val="auto"/>
                <w:sz w:val="21"/>
                <w:szCs w:val="21"/>
                <w:highlight w:val="none"/>
              </w:rPr>
              <w:t xml:space="preserve">分，不完全满足要求或未按规定提供材料者不得分。提供虚假承诺或证明材料者，取消其投标或中标（成交）资格。</w:t>
            </w:r>
            <w:r/>
          </w:p>
        </w:tc>
      </w:tr>
      <w:tr>
        <w:trPr/>
        <w:tc>
          <w:tcPr>
            <w:tcW w:w="717"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p>
        </w:tc>
        <w:tc>
          <w:tcPr>
            <w:tcW w:w="1062"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技术参数响应</w:t>
            </w:r>
            <w:r/>
          </w:p>
        </w:tc>
        <w:tc>
          <w:tcPr>
            <w:tcW w:w="706"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15</w:t>
            </w:r>
            <w:r/>
          </w:p>
        </w:tc>
        <w:tc>
          <w:tcPr>
            <w:tcW w:w="7994" w:type="dxa"/>
            <w:vAlign w:val="center"/>
            <w:textDirection w:val="lrTb"/>
            <w:noWrap w:val="false"/>
          </w:tcPr>
          <w:p>
            <w:pPr>
              <w:pStyle w:val="994"/>
              <w:ind w:left="0" w:firstLine="0"/>
              <w:keepLines w:val="0"/>
              <w:keepNext w:val="0"/>
              <w:pageBreakBefore w:val="0"/>
              <w:spacing w:line="4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评委根据</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所投产品的服务要求、功能</w:t>
            </w:r>
            <w:r>
              <w:rPr>
                <w:rFonts w:hint="eastAsia" w:ascii="宋体" w:hAnsi="宋体" w:eastAsia="宋体" w:cs="宋体"/>
                <w:color w:val="auto"/>
                <w:sz w:val="21"/>
                <w:szCs w:val="21"/>
                <w:highlight w:val="none"/>
                <w:lang w:eastAsia="zh-CN"/>
              </w:rPr>
              <w:t xml:space="preserve">参数</w:t>
            </w:r>
            <w:r>
              <w:rPr>
                <w:rFonts w:hint="eastAsia" w:ascii="宋体" w:hAnsi="宋体" w:eastAsia="宋体" w:cs="宋体"/>
                <w:color w:val="auto"/>
                <w:sz w:val="21"/>
                <w:szCs w:val="21"/>
                <w:highlight w:val="none"/>
              </w:rPr>
              <w:t xml:space="preserve">指标是否</w:t>
            </w:r>
            <w:r>
              <w:rPr>
                <w:rFonts w:hint="eastAsia" w:ascii="宋体" w:hAnsi="宋体" w:eastAsia="宋体" w:cs="宋体"/>
                <w:color w:val="auto"/>
                <w:sz w:val="21"/>
                <w:szCs w:val="21"/>
                <w:highlight w:val="none"/>
                <w:lang w:eastAsia="zh-CN"/>
              </w:rPr>
              <w:t xml:space="preserve">完全满足</w:t>
            </w:r>
            <w:r>
              <w:rPr>
                <w:rFonts w:hint="eastAsia" w:ascii="宋体" w:hAnsi="宋体" w:eastAsia="宋体" w:cs="宋体"/>
                <w:color w:val="auto"/>
                <w:sz w:val="21"/>
                <w:szCs w:val="21"/>
                <w:highlight w:val="none"/>
              </w:rPr>
              <w:t xml:space="preserve">或优于采购文件的要求进行评价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lang w:eastAsia="zh-CN"/>
              </w:rPr>
              <w:t xml:space="preserve">本项最高得</w:t>
            </w:r>
            <w:r>
              <w:rPr>
                <w:rFonts w:hint="eastAsia" w:ascii="宋体" w:hAnsi="宋体" w:eastAsia="宋体" w:cs="宋体"/>
                <w:b/>
                <w:bCs/>
                <w:color w:val="auto"/>
                <w:sz w:val="21"/>
                <w:szCs w:val="21"/>
                <w:highlight w:val="none"/>
                <w:lang w:val="en-US" w:eastAsia="zh-CN"/>
              </w:rPr>
              <w:t xml:space="preserve">15分</w:t>
            </w:r>
            <w:r>
              <w:rPr>
                <w:rFonts w:hint="eastAsia" w:ascii="宋体" w:hAnsi="宋体" w:eastAsia="宋体" w:cs="宋体"/>
                <w:color w:val="auto"/>
                <w:sz w:val="21"/>
                <w:szCs w:val="21"/>
                <w:highlight w:val="none"/>
                <w:lang w:eastAsia="zh-CN"/>
              </w:rPr>
              <w:t xml:space="preserve">:</w:t>
            </w:r>
            <w:r/>
          </w:p>
          <w:p>
            <w:pPr>
              <w:pStyle w:val="994"/>
              <w:ind w:left="0" w:firstLine="0"/>
              <w:keepLines w:val="0"/>
              <w:keepNext w:val="0"/>
              <w:pageBreakBefore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完全满足</w:t>
            </w:r>
            <w:r>
              <w:rPr>
                <w:rFonts w:hint="eastAsia" w:ascii="宋体" w:hAnsi="宋体" w:eastAsia="宋体" w:cs="宋体"/>
                <w:color w:val="auto"/>
                <w:sz w:val="21"/>
                <w:szCs w:val="21"/>
                <w:highlight w:val="none"/>
                <w:lang w:eastAsia="zh-CN"/>
              </w:rPr>
              <w:t xml:space="preserve">或优于</w:t>
            </w:r>
            <w:r>
              <w:rPr>
                <w:rFonts w:hint="eastAsia" w:ascii="宋体" w:hAnsi="宋体" w:eastAsia="宋体" w:cs="宋体"/>
                <w:color w:val="auto"/>
                <w:sz w:val="21"/>
                <w:szCs w:val="21"/>
                <w:highlight w:val="none"/>
                <w:lang w:val="en-US" w:eastAsia="zh-CN"/>
              </w:rPr>
              <w:t xml:space="preserve">（正偏离）</w:t>
            </w:r>
            <w:r>
              <w:rPr>
                <w:rFonts w:hint="eastAsia" w:ascii="宋体" w:hAnsi="宋体" w:eastAsia="宋体" w:cs="宋体"/>
                <w:color w:val="auto"/>
                <w:sz w:val="21"/>
                <w:szCs w:val="21"/>
                <w:highlight w:val="none"/>
              </w:rPr>
              <w:t xml:space="preserve">采购文件要求的得满分1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分。其中带“★”项为</w:t>
            </w:r>
            <w:r>
              <w:rPr>
                <w:rFonts w:hint="eastAsia" w:ascii="宋体" w:hAnsi="宋体" w:eastAsia="宋体" w:cs="宋体"/>
                <w:color w:val="auto"/>
                <w:sz w:val="21"/>
                <w:szCs w:val="21"/>
                <w:highlight w:val="none"/>
                <w:lang w:val="en-US" w:eastAsia="zh-CN"/>
              </w:rPr>
              <w:t xml:space="preserve">关键性</w:t>
            </w:r>
            <w:r>
              <w:rPr>
                <w:rFonts w:hint="eastAsia" w:ascii="宋体" w:hAnsi="宋体" w:eastAsia="宋体" w:cs="宋体"/>
                <w:color w:val="auto"/>
                <w:sz w:val="21"/>
                <w:szCs w:val="21"/>
                <w:highlight w:val="none"/>
              </w:rPr>
              <w:t xml:space="preserve">指标，如有负偏离</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将作无效</w:t>
            </w:r>
            <w:r>
              <w:rPr>
                <w:rFonts w:hint="eastAsia" w:ascii="宋体" w:hAnsi="宋体" w:eastAsia="宋体" w:cs="宋体"/>
                <w:color w:val="auto"/>
                <w:sz w:val="21"/>
                <w:szCs w:val="21"/>
                <w:highlight w:val="none"/>
                <w:lang w:eastAsia="zh-CN"/>
              </w:rPr>
              <w:t xml:space="preserve">投标</w:t>
            </w:r>
            <w:r>
              <w:rPr>
                <w:rFonts w:hint="eastAsia" w:ascii="宋体" w:hAnsi="宋体" w:eastAsia="宋体" w:cs="宋体"/>
                <w:color w:val="auto"/>
                <w:sz w:val="21"/>
                <w:szCs w:val="21"/>
                <w:highlight w:val="none"/>
              </w:rPr>
              <w:t xml:space="preserve">处理；带“▲”条款为重要指标，带“▲”条款每出现一条负偏离</w:t>
            </w:r>
            <w:r>
              <w:rPr>
                <w:rFonts w:hint="eastAsia" w:ascii="宋体" w:hAnsi="宋体" w:eastAsia="宋体" w:cs="宋体"/>
                <w:color w:val="auto"/>
                <w:sz w:val="21"/>
                <w:szCs w:val="21"/>
                <w:highlight w:val="none"/>
                <w:lang w:eastAsia="zh-CN"/>
              </w:rPr>
              <w:t xml:space="preserve">或</w:t>
            </w:r>
            <w:r>
              <w:rPr>
                <w:rFonts w:hint="eastAsia" w:ascii="宋体" w:hAnsi="宋体" w:eastAsia="宋体" w:cs="宋体"/>
                <w:b w:val="0"/>
                <w:bCs w:val="0"/>
                <w:color w:val="auto"/>
                <w:sz w:val="21"/>
                <w:szCs w:val="21"/>
                <w:highlight w:val="none"/>
              </w:rPr>
              <w:t xml:space="preserve">配置不详、技术参数不明确或缺漏项的</w:t>
            </w:r>
            <w:r>
              <w:rPr>
                <w:rFonts w:hint="eastAsia" w:ascii="宋体" w:hAnsi="宋体" w:eastAsia="宋体" w:cs="宋体"/>
                <w:b w:val="0"/>
                <w:bCs w:val="0"/>
                <w:color w:val="auto"/>
                <w:sz w:val="21"/>
                <w:szCs w:val="21"/>
                <w:highlight w:val="none"/>
                <w:lang w:eastAsia="zh-CN"/>
              </w:rPr>
              <w:t xml:space="preserve">，有一项</w:t>
            </w:r>
            <w:r>
              <w:rPr>
                <w:rFonts w:hint="eastAsia" w:ascii="宋体" w:hAnsi="宋体" w:eastAsia="宋体" w:cs="宋体"/>
                <w:color w:val="auto"/>
                <w:sz w:val="21"/>
                <w:szCs w:val="21"/>
                <w:highlight w:val="none"/>
              </w:rPr>
              <w:t xml:space="preserve">扣1分；其他不带“★”和“▲”的条款每出现一条负偏离</w:t>
            </w:r>
            <w:r>
              <w:rPr>
                <w:rFonts w:hint="eastAsia" w:ascii="宋体" w:hAnsi="宋体" w:eastAsia="宋体" w:cs="宋体"/>
                <w:color w:val="auto"/>
                <w:sz w:val="21"/>
                <w:szCs w:val="21"/>
                <w:highlight w:val="none"/>
                <w:lang w:eastAsia="zh-CN"/>
              </w:rPr>
              <w:t xml:space="preserve">或</w:t>
            </w:r>
            <w:r>
              <w:rPr>
                <w:rFonts w:hint="eastAsia" w:ascii="宋体" w:hAnsi="宋体" w:eastAsia="宋体" w:cs="宋体"/>
                <w:b w:val="0"/>
                <w:bCs w:val="0"/>
                <w:color w:val="auto"/>
                <w:sz w:val="21"/>
                <w:szCs w:val="21"/>
                <w:highlight w:val="none"/>
              </w:rPr>
              <w:t xml:space="preserve">配置不详、技术参数不明确或缺漏项的</w:t>
            </w:r>
            <w:r>
              <w:rPr>
                <w:rFonts w:hint="eastAsia" w:ascii="宋体" w:hAnsi="宋体" w:eastAsia="宋体" w:cs="宋体"/>
                <w:b w:val="0"/>
                <w:bCs w:val="0"/>
                <w:color w:val="auto"/>
                <w:sz w:val="21"/>
                <w:szCs w:val="21"/>
                <w:highlight w:val="none"/>
                <w:lang w:eastAsia="zh-CN"/>
              </w:rPr>
              <w:t xml:space="preserve">，有一项</w:t>
            </w:r>
            <w:r>
              <w:rPr>
                <w:rFonts w:hint="eastAsia" w:ascii="宋体" w:hAnsi="宋体" w:eastAsia="宋体" w:cs="宋体"/>
                <w:color w:val="auto"/>
                <w:sz w:val="21"/>
                <w:szCs w:val="21"/>
                <w:highlight w:val="none"/>
              </w:rPr>
              <w:t xml:space="preserve">扣0.5分，满分1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分扣完为止。</w:t>
            </w:r>
            <w:r/>
          </w:p>
          <w:p>
            <w:pPr>
              <w:pStyle w:val="987"/>
              <w:jc w:val="both"/>
              <w:keepLines w:val="0"/>
              <w:keepNext w:val="0"/>
              <w:pageBreakBefore w:val="0"/>
              <w:spacing w:line="42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auto"/>
                <w:sz w:val="21"/>
                <w:szCs w:val="21"/>
                <w:highlight w:val="none"/>
                <w:lang w:eastAsia="zh-CN"/>
              </w:rPr>
              <w:t xml:space="preserve">投标文件</w:t>
            </w:r>
            <w:r>
              <w:rPr>
                <w:rFonts w:hint="eastAsia" w:ascii="宋体" w:hAnsi="宋体" w:eastAsia="宋体" w:cs="宋体"/>
                <w:b/>
                <w:bCs/>
                <w:color w:val="auto"/>
                <w:sz w:val="21"/>
                <w:szCs w:val="21"/>
                <w:highlight w:val="none"/>
              </w:rPr>
              <w:t xml:space="preserve">中</w:t>
            </w:r>
            <w:r>
              <w:rPr>
                <w:rFonts w:hint="eastAsia" w:ascii="宋体" w:hAnsi="宋体" w:eastAsia="宋体" w:cs="宋体"/>
                <w:b/>
                <w:bCs/>
                <w:color w:val="auto"/>
                <w:sz w:val="21"/>
                <w:szCs w:val="21"/>
                <w:highlight w:val="none"/>
              </w:rPr>
              <w:t xml:space="preserve">需</w:t>
            </w:r>
            <w:r>
              <w:rPr>
                <w:rFonts w:hint="eastAsia" w:ascii="宋体" w:hAnsi="宋体" w:eastAsia="宋体" w:cs="宋体"/>
                <w:b/>
                <w:bCs/>
                <w:color w:val="auto"/>
                <w:sz w:val="21"/>
                <w:szCs w:val="21"/>
                <w:highlight w:val="none"/>
              </w:rPr>
              <w:t xml:space="preserve">按</w:t>
            </w:r>
            <w:r>
              <w:rPr>
                <w:rFonts w:hint="eastAsia" w:ascii="宋体" w:hAnsi="宋体" w:eastAsia="宋体" w:cs="宋体"/>
                <w:b/>
                <w:bCs/>
                <w:color w:val="auto"/>
                <w:sz w:val="21"/>
                <w:szCs w:val="21"/>
                <w:highlight w:val="none"/>
                <w:lang w:eastAsia="zh-CN"/>
              </w:rPr>
              <w:t xml:space="preserve">采购需求中</w:t>
            </w:r>
            <w:r>
              <w:rPr>
                <w:rFonts w:hint="eastAsia" w:ascii="宋体" w:hAnsi="宋体" w:eastAsia="宋体" w:cs="宋体"/>
                <w:b/>
                <w:bCs/>
                <w:color w:val="auto"/>
                <w:sz w:val="21"/>
                <w:szCs w:val="21"/>
                <w:highlight w:val="none"/>
              </w:rPr>
              <w:t xml:space="preserve">技术</w:t>
            </w:r>
            <w:r>
              <w:rPr>
                <w:rFonts w:hint="eastAsia" w:ascii="宋体" w:hAnsi="宋体" w:eastAsia="宋体" w:cs="宋体"/>
                <w:b/>
                <w:bCs/>
                <w:color w:val="auto"/>
                <w:sz w:val="21"/>
                <w:szCs w:val="21"/>
                <w:highlight w:val="none"/>
                <w:lang w:eastAsia="zh-CN"/>
              </w:rPr>
              <w:t xml:space="preserve">参数及服务要求，标“</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”项指标</w:t>
            </w:r>
            <w:r>
              <w:rPr>
                <w:rStyle w:val="1078"/>
                <w:rFonts w:hint="eastAsia" w:ascii="宋体" w:hAnsi="宋体" w:eastAsia="宋体" w:cs="宋体"/>
                <w:b/>
                <w:bCs/>
                <w:color w:val="auto"/>
                <w:sz w:val="21"/>
                <w:szCs w:val="21"/>
                <w:highlight w:val="none"/>
                <w:lang w:val="en-US" w:eastAsia="zh-CN" w:bidi="ar-SA"/>
              </w:rPr>
              <w:t xml:space="preserve">提供承诺函并加盖投标人公章，格式自拟；其余指标</w:t>
            </w:r>
            <w:r>
              <w:rPr>
                <w:rFonts w:hint="eastAsia" w:ascii="宋体" w:hAnsi="宋体" w:eastAsia="宋体" w:cs="宋体"/>
                <w:b/>
                <w:bCs/>
                <w:color w:val="auto"/>
                <w:sz w:val="21"/>
                <w:szCs w:val="21"/>
                <w:highlight w:val="none"/>
              </w:rPr>
              <w:t xml:space="preserve">响应情况应体现在《</w:t>
            </w:r>
            <w:r>
              <w:rPr>
                <w:rFonts w:hint="eastAsia" w:ascii="宋体" w:hAnsi="宋体" w:eastAsia="宋体" w:cs="宋体"/>
                <w:b/>
                <w:color w:val="auto"/>
                <w:sz w:val="21"/>
                <w:szCs w:val="21"/>
                <w:highlight w:val="none"/>
              </w:rPr>
              <w:t xml:space="preserve">技术偏离表</w:t>
            </w:r>
            <w:r>
              <w:rPr>
                <w:rFonts w:hint="eastAsia" w:ascii="宋体" w:hAnsi="宋体" w:eastAsia="宋体" w:cs="宋体"/>
                <w:b/>
                <w:bCs/>
                <w:color w:val="auto"/>
                <w:sz w:val="21"/>
                <w:szCs w:val="21"/>
                <w:highlight w:val="none"/>
              </w:rPr>
              <w:t xml:space="preserve">》中，非标“▲”项指标的无需提供佐证材料</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标“▲”项</w:t>
            </w:r>
            <w:r>
              <w:rPr>
                <w:rFonts w:hint="eastAsia" w:ascii="宋体" w:hAnsi="宋体" w:eastAsia="宋体" w:cs="宋体"/>
                <w:b/>
                <w:bCs/>
                <w:color w:val="auto"/>
                <w:sz w:val="21"/>
                <w:szCs w:val="21"/>
                <w:highlight w:val="none"/>
                <w:lang w:eastAsia="zh-CN"/>
              </w:rPr>
              <w:t xml:space="preserve">指标还需</w:t>
            </w: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eastAsia="zh-CN"/>
              </w:rPr>
              <w:t xml:space="preserve">功能截图等</w:t>
            </w:r>
            <w:r>
              <w:rPr>
                <w:rFonts w:hint="eastAsia" w:ascii="宋体" w:hAnsi="宋体" w:eastAsia="宋体" w:cs="宋体"/>
                <w:b/>
                <w:bCs/>
                <w:color w:val="auto"/>
                <w:sz w:val="21"/>
                <w:szCs w:val="21"/>
                <w:highlight w:val="none"/>
              </w:rPr>
              <w:t xml:space="preserve">佐证材料，</w:t>
            </w:r>
            <w:r>
              <w:rPr>
                <w:rFonts w:hint="eastAsia" w:ascii="宋体" w:hAnsi="宋体" w:eastAsia="宋体" w:cs="宋体"/>
                <w:b/>
                <w:bCs/>
                <w:color w:val="auto"/>
                <w:sz w:val="21"/>
                <w:szCs w:val="21"/>
                <w:highlight w:val="none"/>
                <w:lang w:eastAsia="zh-CN"/>
              </w:rPr>
              <w:t xml:space="preserve">否则</w:t>
            </w:r>
            <w:r>
              <w:rPr>
                <w:rFonts w:hint="eastAsia" w:ascii="宋体" w:hAnsi="宋体" w:eastAsia="宋体" w:cs="宋体"/>
                <w:b/>
                <w:bCs/>
                <w:color w:val="auto"/>
                <w:sz w:val="21"/>
                <w:szCs w:val="21"/>
                <w:highlight w:val="none"/>
              </w:rPr>
              <w:t xml:space="preserve">视为负偏离处理。如有提供虚假技术参数的，一经发现按无效</w:t>
            </w:r>
            <w:r>
              <w:rPr>
                <w:rFonts w:hint="eastAsia" w:ascii="宋体" w:hAnsi="宋体" w:eastAsia="宋体" w:cs="宋体"/>
                <w:b/>
                <w:bCs/>
                <w:color w:val="auto"/>
                <w:sz w:val="21"/>
                <w:szCs w:val="21"/>
                <w:highlight w:val="none"/>
                <w:lang w:eastAsia="zh-CN"/>
              </w:rPr>
              <w:t xml:space="preserve">投标</w:t>
            </w:r>
            <w:r>
              <w:rPr>
                <w:rFonts w:hint="eastAsia" w:ascii="宋体" w:hAnsi="宋体" w:eastAsia="宋体" w:cs="宋体"/>
                <w:b/>
                <w:bCs/>
                <w:color w:val="auto"/>
                <w:sz w:val="21"/>
                <w:szCs w:val="21"/>
                <w:highlight w:val="none"/>
              </w:rPr>
              <w:t xml:space="preserve">处理。</w:t>
            </w:r>
            <w:r/>
          </w:p>
        </w:tc>
      </w:tr>
      <w:tr>
        <w:trPr/>
        <w:tc>
          <w:tcPr>
            <w:tcW w:w="717"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1062"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功能演示</w:t>
            </w:r>
            <w:r/>
          </w:p>
        </w:tc>
        <w:tc>
          <w:tcPr>
            <w:tcW w:w="706"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15</w:t>
            </w:r>
            <w:r/>
          </w:p>
        </w:tc>
        <w:tc>
          <w:tcPr>
            <w:tcW w:w="7994" w:type="dxa"/>
            <w:vAlign w:val="center"/>
            <w:textDirection w:val="lrTb"/>
            <w:noWrap w:val="false"/>
          </w:tcPr>
          <w:p>
            <w:pPr>
              <w:keepLines w:val="0"/>
              <w:keepNext w:val="0"/>
              <w:pageBreakBefore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为了确认</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产品实质性满足采购文件中的技术指标、参数要求，</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需对下面演示点使用所投型号真实软件产品进行演示，不接受 PPT、demo原型图演示，演示内容需严谨、全面，演示总时长</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6.1-6.15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不超过20分钟（</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须自备电脑、网络等设备进行视频录制并上传），</w:t>
            </w:r>
            <w:r>
              <w:rPr>
                <w:rFonts w:hint="eastAsia" w:ascii="宋体" w:hAnsi="宋体" w:eastAsia="宋体" w:cs="宋体"/>
                <w:b/>
                <w:bCs/>
                <w:color w:val="auto"/>
                <w:sz w:val="21"/>
                <w:szCs w:val="21"/>
                <w:highlight w:val="none"/>
                <w:lang w:eastAsia="zh-CN"/>
              </w:rPr>
              <w:t xml:space="preserve">本项（</w:t>
            </w:r>
            <w:r>
              <w:rPr>
                <w:rFonts w:hint="eastAsia" w:ascii="宋体" w:hAnsi="宋体" w:eastAsia="宋体" w:cs="宋体"/>
                <w:b/>
                <w:bCs/>
                <w:color w:val="auto"/>
                <w:sz w:val="21"/>
                <w:szCs w:val="21"/>
                <w:highlight w:val="none"/>
                <w:lang w:val="en-US" w:eastAsia="zh-CN"/>
              </w:rPr>
              <w:t xml:space="preserve">6.1-6.15</w:t>
            </w:r>
            <w:r>
              <w:rPr>
                <w:rFonts w:hint="eastAsia" w:ascii="宋体" w:hAnsi="宋体" w:eastAsia="宋体" w:cs="宋体"/>
                <w:b/>
                <w:bCs/>
                <w:color w:val="auto"/>
                <w:sz w:val="21"/>
                <w:szCs w:val="21"/>
                <w:highlight w:val="none"/>
                <w:lang w:eastAsia="zh-CN"/>
              </w:rPr>
              <w:t xml:space="preserve">）最高得</w:t>
            </w:r>
            <w:r>
              <w:rPr>
                <w:rFonts w:hint="eastAsia" w:ascii="宋体" w:hAnsi="宋体" w:eastAsia="宋体" w:cs="宋体"/>
                <w:b/>
                <w:bCs/>
                <w:color w:val="auto"/>
                <w:sz w:val="21"/>
                <w:szCs w:val="21"/>
                <w:highlight w:val="none"/>
                <w:lang w:val="en-US" w:eastAsia="zh-CN"/>
              </w:rPr>
              <w:t xml:space="preserve">15</w:t>
            </w:r>
            <w:r>
              <w:rPr>
                <w:rFonts w:hint="eastAsia" w:ascii="宋体" w:hAnsi="宋体" w:eastAsia="宋体" w:cs="宋体"/>
                <w:b/>
                <w:bCs/>
                <w:color w:val="auto"/>
                <w:sz w:val="21"/>
                <w:szCs w:val="21"/>
                <w:highlight w:val="none"/>
              </w:rPr>
              <w:t xml:space="preserve">分，演示不全或者</w:t>
            </w:r>
            <w:r>
              <w:rPr>
                <w:rFonts w:hint="eastAsia" w:ascii="宋体" w:hAnsi="宋体" w:eastAsia="宋体" w:cs="宋体"/>
                <w:b/>
                <w:bCs/>
                <w:color w:val="auto"/>
                <w:sz w:val="21"/>
                <w:szCs w:val="21"/>
                <w:highlight w:val="none"/>
                <w:lang w:eastAsia="zh-CN"/>
              </w:rPr>
              <w:t xml:space="preserve">不满足要求或</w:t>
            </w:r>
            <w:r>
              <w:rPr>
                <w:rFonts w:hint="eastAsia" w:ascii="宋体" w:hAnsi="宋体" w:eastAsia="宋体" w:cs="宋体"/>
                <w:b/>
                <w:bCs/>
                <w:color w:val="auto"/>
                <w:sz w:val="21"/>
                <w:szCs w:val="21"/>
                <w:highlight w:val="none"/>
              </w:rPr>
              <w:t xml:space="preserve">不演示</w:t>
            </w:r>
            <w:r>
              <w:rPr>
                <w:rFonts w:hint="eastAsia" w:ascii="宋体" w:hAnsi="宋体" w:eastAsia="宋体" w:cs="宋体"/>
                <w:b/>
                <w:bCs/>
                <w:color w:val="auto"/>
                <w:sz w:val="21"/>
                <w:szCs w:val="21"/>
                <w:highlight w:val="none"/>
                <w:lang w:eastAsia="zh-CN"/>
              </w:rPr>
              <w:t xml:space="preserve">对应项</w:t>
            </w:r>
            <w:r>
              <w:rPr>
                <w:rFonts w:hint="eastAsia" w:ascii="宋体" w:hAnsi="宋体" w:eastAsia="宋体" w:cs="宋体"/>
                <w:b/>
                <w:bCs/>
                <w:color w:val="auto"/>
                <w:sz w:val="21"/>
                <w:szCs w:val="21"/>
                <w:highlight w:val="none"/>
              </w:rPr>
              <w:t xml:space="preserve">不得分。如提供虚假演示材料的，一经发现按无效</w:t>
            </w:r>
            <w:r>
              <w:rPr>
                <w:rFonts w:hint="eastAsia" w:ascii="宋体" w:hAnsi="宋体" w:eastAsia="宋体" w:cs="宋体"/>
                <w:b/>
                <w:bCs/>
                <w:color w:val="auto"/>
                <w:sz w:val="21"/>
                <w:szCs w:val="21"/>
                <w:highlight w:val="none"/>
                <w:lang w:eastAsia="zh-CN"/>
              </w:rPr>
              <w:t xml:space="preserve">投标</w:t>
            </w:r>
            <w:r>
              <w:rPr>
                <w:rFonts w:hint="eastAsia" w:ascii="宋体" w:hAnsi="宋体" w:eastAsia="宋体" w:cs="宋体"/>
                <w:b/>
                <w:bCs/>
                <w:color w:val="auto"/>
                <w:sz w:val="21"/>
                <w:szCs w:val="21"/>
                <w:highlight w:val="none"/>
              </w:rPr>
              <w:t xml:space="preserve">处理。</w:t>
            </w:r>
            <w:r/>
          </w:p>
          <w:p>
            <w:pPr>
              <w:keepLines w:val="0"/>
              <w:keepNext w:val="0"/>
              <w:pageBreakBefore w:val="0"/>
              <w:spacing w:line="42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6.1 </w:t>
            </w:r>
            <w:r>
              <w:rPr>
                <w:rFonts w:hint="eastAsia" w:ascii="宋体" w:hAnsi="宋体" w:eastAsia="宋体" w:cs="宋体"/>
                <w:b/>
                <w:bCs/>
                <w:color w:val="auto"/>
                <w:sz w:val="21"/>
                <w:szCs w:val="21"/>
                <w:highlight w:val="none"/>
              </w:rPr>
              <w:t xml:space="preserve">AI数据问答功能</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支持通过 AI 智能体自定义查询，获取指</w:t>
            </w:r>
            <w:bookmarkStart w:id="342" w:name="_GoBack"/>
            <w:r/>
            <w:bookmarkEnd w:id="342"/>
            <w:r>
              <w:rPr>
                <w:rFonts w:hint="eastAsia" w:ascii="宋体" w:hAnsi="宋体" w:eastAsia="宋体" w:cs="宋体"/>
                <w:color w:val="auto"/>
                <w:sz w:val="21"/>
                <w:szCs w:val="21"/>
                <w:highlight w:val="none"/>
              </w:rPr>
              <w:t xml:space="preserve">定时间范围、学校院系范围的数据统计结果；可查询范围基本覆盖学校的课程运行、师生活动、考勤签到等日常教学场景。AI 生成结果支持图文、表格等多种展示效果，支持对教学运行数据进行描述和分析，回复内容可导出为 pdf 或图片。</w:t>
            </w:r>
            <w:r>
              <w:rPr>
                <w:rFonts w:hint="eastAsia" w:ascii="宋体" w:hAnsi="宋体" w:eastAsia="宋体" w:cs="宋体"/>
                <w:b/>
                <w:bCs/>
                <w:color w:val="auto"/>
                <w:sz w:val="21"/>
                <w:szCs w:val="21"/>
                <w:highlight w:val="none"/>
                <w:lang w:eastAsia="zh-CN"/>
              </w:rPr>
              <w:t xml:space="preserve">完全满足得</w:t>
            </w:r>
            <w:r>
              <w:rPr>
                <w:rFonts w:hint="eastAsia" w:ascii="宋体" w:hAnsi="宋体" w:eastAsia="宋体" w:cs="宋体"/>
                <w:b/>
                <w:bCs/>
                <w:color w:val="auto"/>
                <w:sz w:val="21"/>
                <w:szCs w:val="21"/>
                <w:highlight w:val="none"/>
                <w:lang w:val="en-US" w:eastAsia="zh-CN"/>
              </w:rPr>
              <w:t xml:space="preserve">1分，</w:t>
            </w:r>
            <w:r>
              <w:rPr>
                <w:rFonts w:hint="eastAsia" w:ascii="宋体" w:hAnsi="宋体" w:eastAsia="宋体" w:cs="宋体"/>
                <w:b/>
                <w:bCs/>
                <w:color w:val="auto"/>
                <w:sz w:val="21"/>
                <w:szCs w:val="21"/>
                <w:highlight w:val="none"/>
              </w:rPr>
              <w:t xml:space="preserve">演示不全或者</w:t>
            </w:r>
            <w:r>
              <w:rPr>
                <w:rFonts w:hint="eastAsia" w:ascii="宋体" w:hAnsi="宋体" w:eastAsia="宋体" w:cs="宋体"/>
                <w:b/>
                <w:bCs/>
                <w:color w:val="auto"/>
                <w:sz w:val="21"/>
                <w:szCs w:val="21"/>
                <w:highlight w:val="none"/>
                <w:lang w:eastAsia="zh-CN"/>
              </w:rPr>
              <w:t xml:space="preserve">不满足要求或</w:t>
            </w:r>
            <w:r>
              <w:rPr>
                <w:rFonts w:hint="eastAsia" w:ascii="宋体" w:hAnsi="宋体" w:eastAsia="宋体" w:cs="宋体"/>
                <w:b/>
                <w:bCs/>
                <w:color w:val="auto"/>
                <w:sz w:val="21"/>
                <w:szCs w:val="21"/>
                <w:highlight w:val="none"/>
              </w:rPr>
              <w:t xml:space="preserve">不演示</w:t>
            </w:r>
            <w:r>
              <w:rPr>
                <w:rFonts w:hint="eastAsia" w:ascii="宋体" w:hAnsi="宋体" w:eastAsia="宋体" w:cs="宋体"/>
                <w:b/>
                <w:bCs/>
                <w:color w:val="auto"/>
                <w:sz w:val="21"/>
                <w:szCs w:val="21"/>
                <w:highlight w:val="none"/>
                <w:lang w:eastAsia="zh-CN"/>
              </w:rPr>
              <w:t xml:space="preserve">本项</w:t>
            </w:r>
            <w:r>
              <w:rPr>
                <w:rFonts w:hint="eastAsia" w:ascii="宋体" w:hAnsi="宋体" w:eastAsia="宋体" w:cs="宋体"/>
                <w:b/>
                <w:bCs/>
                <w:color w:val="auto"/>
                <w:sz w:val="21"/>
                <w:szCs w:val="21"/>
                <w:highlight w:val="none"/>
              </w:rPr>
              <w:t xml:space="preserve">不得分</w:t>
            </w:r>
            <w:r>
              <w:rPr>
                <w:rFonts w:hint="eastAsia" w:ascii="宋体" w:hAnsi="宋体" w:eastAsia="宋体" w:cs="宋体"/>
                <w:b/>
                <w:bCs/>
                <w:color w:val="auto"/>
                <w:sz w:val="21"/>
                <w:szCs w:val="21"/>
                <w:highlight w:val="none"/>
                <w:lang w:eastAsia="zh-CN"/>
              </w:rPr>
              <w:t xml:space="preserve">。</w:t>
            </w:r>
            <w:r/>
          </w:p>
          <w:p>
            <w:pPr>
              <w:keepLines w:val="0"/>
              <w:keepNext w:val="0"/>
              <w:pageBreakBefore w:val="0"/>
              <w:spacing w:line="42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6.2 </w:t>
            </w:r>
            <w:r>
              <w:rPr>
                <w:rFonts w:hint="eastAsia" w:ascii="宋体" w:hAnsi="宋体" w:eastAsia="宋体" w:cs="宋体"/>
                <w:b/>
                <w:bCs/>
                <w:color w:val="auto"/>
                <w:sz w:val="21"/>
                <w:szCs w:val="21"/>
                <w:highlight w:val="none"/>
              </w:rPr>
              <w:t xml:space="preserve">AI数据报告功能</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支持通过 AI 智能体开展主题分析并智能生成分析报告。支持用户自定义报告分析主题，由 AI 智能构建报告大纲；大纲经用户调整确认后，生成专业分析报告。分析报告内容支持文本、统计图、数据表形式展示，报告结果可导出为 pdf 或图片。生成的数据报告支持保存为模板，可重复使用。</w:t>
            </w:r>
            <w:r>
              <w:rPr>
                <w:rFonts w:hint="eastAsia" w:ascii="宋体" w:hAnsi="宋体" w:eastAsia="宋体" w:cs="宋体"/>
                <w:b/>
                <w:bCs/>
                <w:color w:val="auto"/>
                <w:sz w:val="21"/>
                <w:szCs w:val="21"/>
                <w:highlight w:val="none"/>
                <w:lang w:eastAsia="zh-CN"/>
              </w:rPr>
              <w:t xml:space="preserve">完全满足得</w:t>
            </w:r>
            <w:r>
              <w:rPr>
                <w:rFonts w:hint="eastAsia" w:ascii="宋体" w:hAnsi="宋体" w:eastAsia="宋体" w:cs="宋体"/>
                <w:b/>
                <w:bCs/>
                <w:color w:val="auto"/>
                <w:sz w:val="21"/>
                <w:szCs w:val="21"/>
                <w:highlight w:val="none"/>
                <w:lang w:val="en-US" w:eastAsia="zh-CN"/>
              </w:rPr>
              <w:t xml:space="preserve">1分，</w:t>
            </w:r>
            <w:r>
              <w:rPr>
                <w:rFonts w:hint="eastAsia" w:ascii="宋体" w:hAnsi="宋体" w:eastAsia="宋体" w:cs="宋体"/>
                <w:b/>
                <w:bCs/>
                <w:color w:val="auto"/>
                <w:sz w:val="21"/>
                <w:szCs w:val="21"/>
                <w:highlight w:val="none"/>
              </w:rPr>
              <w:t xml:space="preserve">演示不全或者</w:t>
            </w:r>
            <w:r>
              <w:rPr>
                <w:rFonts w:hint="eastAsia" w:ascii="宋体" w:hAnsi="宋体" w:eastAsia="宋体" w:cs="宋体"/>
                <w:b/>
                <w:bCs/>
                <w:color w:val="auto"/>
                <w:sz w:val="21"/>
                <w:szCs w:val="21"/>
                <w:highlight w:val="none"/>
                <w:lang w:eastAsia="zh-CN"/>
              </w:rPr>
              <w:t xml:space="preserve">不满足要求或</w:t>
            </w:r>
            <w:r>
              <w:rPr>
                <w:rFonts w:hint="eastAsia" w:ascii="宋体" w:hAnsi="宋体" w:eastAsia="宋体" w:cs="宋体"/>
                <w:b/>
                <w:bCs/>
                <w:color w:val="auto"/>
                <w:sz w:val="21"/>
                <w:szCs w:val="21"/>
                <w:highlight w:val="none"/>
              </w:rPr>
              <w:t xml:space="preserve">不演示</w:t>
            </w:r>
            <w:r>
              <w:rPr>
                <w:rFonts w:hint="eastAsia" w:ascii="宋体" w:hAnsi="宋体" w:eastAsia="宋体" w:cs="宋体"/>
                <w:b/>
                <w:bCs/>
                <w:color w:val="auto"/>
                <w:sz w:val="21"/>
                <w:szCs w:val="21"/>
                <w:highlight w:val="none"/>
                <w:lang w:eastAsia="zh-CN"/>
              </w:rPr>
              <w:t xml:space="preserve">本项</w:t>
            </w:r>
            <w:r>
              <w:rPr>
                <w:rFonts w:hint="eastAsia" w:ascii="宋体" w:hAnsi="宋体" w:eastAsia="宋体" w:cs="宋体"/>
                <w:b/>
                <w:bCs/>
                <w:color w:val="auto"/>
                <w:sz w:val="21"/>
                <w:szCs w:val="21"/>
                <w:highlight w:val="none"/>
              </w:rPr>
              <w:t xml:space="preserve">不得分</w:t>
            </w:r>
            <w:r>
              <w:rPr>
                <w:rFonts w:hint="eastAsia" w:ascii="宋体" w:hAnsi="宋体" w:eastAsia="宋体" w:cs="宋体"/>
                <w:b/>
                <w:bCs/>
                <w:color w:val="auto"/>
                <w:sz w:val="21"/>
                <w:szCs w:val="21"/>
                <w:highlight w:val="none"/>
                <w:lang w:eastAsia="zh-CN"/>
              </w:rPr>
              <w:t xml:space="preserve">。</w:t>
            </w:r>
            <w:r/>
          </w:p>
          <w:p>
            <w:pPr>
              <w:keepLines w:val="0"/>
              <w:keepNext w:val="0"/>
              <w:pageBreakBefore w:val="0"/>
              <w:spacing w:line="42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6.3 </w:t>
            </w:r>
            <w:r>
              <w:rPr>
                <w:rFonts w:hint="eastAsia" w:ascii="宋体" w:hAnsi="宋体" w:eastAsia="宋体" w:cs="宋体"/>
                <w:b/>
                <w:bCs/>
                <w:color w:val="auto"/>
                <w:sz w:val="21"/>
                <w:szCs w:val="21"/>
                <w:highlight w:val="none"/>
              </w:rPr>
              <w:t xml:space="preserve">AI数据报表功能</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用户通过智能体对话或自建数据表模板方式，实现数据智能导出。数据模板支持自定义时间范围、院系范围和导出数据内容，支持用户调整数据名称并设置排序字段。导出的报表支持保存为模板，可重复使用。</w:t>
            </w:r>
            <w:r>
              <w:rPr>
                <w:rFonts w:hint="eastAsia" w:ascii="宋体" w:hAnsi="宋体" w:eastAsia="宋体" w:cs="宋体"/>
                <w:b/>
                <w:bCs/>
                <w:color w:val="auto"/>
                <w:sz w:val="21"/>
                <w:szCs w:val="21"/>
                <w:highlight w:val="none"/>
                <w:lang w:eastAsia="zh-CN"/>
              </w:rPr>
              <w:t xml:space="preserve">完全满足得</w:t>
            </w:r>
            <w:r>
              <w:rPr>
                <w:rFonts w:hint="eastAsia" w:ascii="宋体" w:hAnsi="宋体" w:eastAsia="宋体" w:cs="宋体"/>
                <w:b/>
                <w:bCs/>
                <w:color w:val="auto"/>
                <w:sz w:val="21"/>
                <w:szCs w:val="21"/>
                <w:highlight w:val="none"/>
                <w:lang w:val="en-US" w:eastAsia="zh-CN"/>
              </w:rPr>
              <w:t xml:space="preserve">1分，</w:t>
            </w:r>
            <w:r>
              <w:rPr>
                <w:rFonts w:hint="eastAsia" w:ascii="宋体" w:hAnsi="宋体" w:eastAsia="宋体" w:cs="宋体"/>
                <w:b/>
                <w:bCs/>
                <w:color w:val="auto"/>
                <w:sz w:val="21"/>
                <w:szCs w:val="21"/>
                <w:highlight w:val="none"/>
              </w:rPr>
              <w:t xml:space="preserve">演示不全或者</w:t>
            </w:r>
            <w:r>
              <w:rPr>
                <w:rFonts w:hint="eastAsia" w:ascii="宋体" w:hAnsi="宋体" w:eastAsia="宋体" w:cs="宋体"/>
                <w:b/>
                <w:bCs/>
                <w:color w:val="auto"/>
                <w:sz w:val="21"/>
                <w:szCs w:val="21"/>
                <w:highlight w:val="none"/>
                <w:lang w:eastAsia="zh-CN"/>
              </w:rPr>
              <w:t xml:space="preserve">不满足要求或</w:t>
            </w:r>
            <w:r>
              <w:rPr>
                <w:rFonts w:hint="eastAsia" w:ascii="宋体" w:hAnsi="宋体" w:eastAsia="宋体" w:cs="宋体"/>
                <w:b/>
                <w:bCs/>
                <w:color w:val="auto"/>
                <w:sz w:val="21"/>
                <w:szCs w:val="21"/>
                <w:highlight w:val="none"/>
              </w:rPr>
              <w:t xml:space="preserve">不演示</w:t>
            </w:r>
            <w:r>
              <w:rPr>
                <w:rFonts w:hint="eastAsia" w:ascii="宋体" w:hAnsi="宋体" w:eastAsia="宋体" w:cs="宋体"/>
                <w:b/>
                <w:bCs/>
                <w:color w:val="auto"/>
                <w:sz w:val="21"/>
                <w:szCs w:val="21"/>
                <w:highlight w:val="none"/>
                <w:lang w:eastAsia="zh-CN"/>
              </w:rPr>
              <w:t xml:space="preserve">本项</w:t>
            </w:r>
            <w:r>
              <w:rPr>
                <w:rFonts w:hint="eastAsia" w:ascii="宋体" w:hAnsi="宋体" w:eastAsia="宋体" w:cs="宋体"/>
                <w:b/>
                <w:bCs/>
                <w:color w:val="auto"/>
                <w:sz w:val="21"/>
                <w:szCs w:val="21"/>
                <w:highlight w:val="none"/>
              </w:rPr>
              <w:t xml:space="preserve">不得分</w:t>
            </w:r>
            <w:r>
              <w:rPr>
                <w:rFonts w:hint="eastAsia" w:ascii="宋体" w:hAnsi="宋体" w:eastAsia="宋体" w:cs="宋体"/>
                <w:b/>
                <w:bCs/>
                <w:color w:val="auto"/>
                <w:sz w:val="21"/>
                <w:szCs w:val="21"/>
                <w:highlight w:val="none"/>
                <w:lang w:eastAsia="zh-CN"/>
              </w:rPr>
              <w:t xml:space="preserve">。</w:t>
            </w:r>
            <w:r/>
          </w:p>
          <w:p>
            <w:pPr>
              <w:keepLines w:val="0"/>
              <w:keepNext w:val="0"/>
              <w:pageBreakBefore w:val="0"/>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6.4 </w:t>
            </w:r>
            <w:r>
              <w:rPr>
                <w:rFonts w:hint="eastAsia" w:ascii="宋体" w:hAnsi="宋体" w:eastAsia="宋体" w:cs="宋体"/>
                <w:b/>
                <w:bCs/>
                <w:color w:val="auto"/>
                <w:sz w:val="21"/>
                <w:szCs w:val="21"/>
                <w:highlight w:val="none"/>
              </w:rPr>
              <w:t xml:space="preserve">主观题智能批阅</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对于计算题，支持对学生手写拍照的多张图片进行智能批阅，给出推荐得分和和评语。教师对AI批阅结果不满意时，可以重新生成AI批阅结果。对于英语作文，支持CET四级、CET六级等多种年级标准，支持逐句点评，指出学生作文中的拼写、语法错误。</w:t>
            </w:r>
            <w:r>
              <w:rPr>
                <w:rFonts w:hint="eastAsia" w:ascii="宋体" w:hAnsi="宋体" w:eastAsia="宋体" w:cs="宋体"/>
                <w:b/>
                <w:bCs/>
                <w:color w:val="auto"/>
                <w:sz w:val="21"/>
                <w:szCs w:val="21"/>
                <w:highlight w:val="none"/>
                <w:lang w:eastAsia="zh-CN"/>
              </w:rPr>
              <w:t xml:space="preserve">完全满足得</w:t>
            </w:r>
            <w:r>
              <w:rPr>
                <w:rFonts w:hint="eastAsia" w:ascii="宋体" w:hAnsi="宋体" w:eastAsia="宋体" w:cs="宋体"/>
                <w:b/>
                <w:bCs/>
                <w:color w:val="auto"/>
                <w:sz w:val="21"/>
                <w:szCs w:val="21"/>
                <w:highlight w:val="none"/>
                <w:lang w:val="en-US" w:eastAsia="zh-CN"/>
              </w:rPr>
              <w:t xml:space="preserve">1分，</w:t>
            </w:r>
            <w:r>
              <w:rPr>
                <w:rFonts w:hint="eastAsia" w:ascii="宋体" w:hAnsi="宋体" w:eastAsia="宋体" w:cs="宋体"/>
                <w:b/>
                <w:bCs/>
                <w:color w:val="auto"/>
                <w:sz w:val="21"/>
                <w:szCs w:val="21"/>
                <w:highlight w:val="none"/>
              </w:rPr>
              <w:t xml:space="preserve">演示不全或者</w:t>
            </w:r>
            <w:r>
              <w:rPr>
                <w:rFonts w:hint="eastAsia" w:ascii="宋体" w:hAnsi="宋体" w:eastAsia="宋体" w:cs="宋体"/>
                <w:b/>
                <w:bCs/>
                <w:color w:val="auto"/>
                <w:sz w:val="21"/>
                <w:szCs w:val="21"/>
                <w:highlight w:val="none"/>
                <w:lang w:eastAsia="zh-CN"/>
              </w:rPr>
              <w:t xml:space="preserve">不满足要求或</w:t>
            </w:r>
            <w:r>
              <w:rPr>
                <w:rFonts w:hint="eastAsia" w:ascii="宋体" w:hAnsi="宋体" w:eastAsia="宋体" w:cs="宋体"/>
                <w:b/>
                <w:bCs/>
                <w:color w:val="auto"/>
                <w:sz w:val="21"/>
                <w:szCs w:val="21"/>
                <w:highlight w:val="none"/>
              </w:rPr>
              <w:t xml:space="preserve">不演示</w:t>
            </w:r>
            <w:r>
              <w:rPr>
                <w:rFonts w:hint="eastAsia" w:ascii="宋体" w:hAnsi="宋体" w:eastAsia="宋体" w:cs="宋体"/>
                <w:b/>
                <w:bCs/>
                <w:color w:val="auto"/>
                <w:sz w:val="21"/>
                <w:szCs w:val="21"/>
                <w:highlight w:val="none"/>
                <w:lang w:eastAsia="zh-CN"/>
              </w:rPr>
              <w:t xml:space="preserve">本项</w:t>
            </w:r>
            <w:r>
              <w:rPr>
                <w:rFonts w:hint="eastAsia" w:ascii="宋体" w:hAnsi="宋体" w:eastAsia="宋体" w:cs="宋体"/>
                <w:b/>
                <w:bCs/>
                <w:color w:val="auto"/>
                <w:sz w:val="21"/>
                <w:szCs w:val="21"/>
                <w:highlight w:val="none"/>
              </w:rPr>
              <w:t xml:space="preserve">不得分</w:t>
            </w:r>
            <w:r>
              <w:rPr>
                <w:rFonts w:hint="eastAsia" w:ascii="宋体" w:hAnsi="宋体" w:eastAsia="宋体" w:cs="宋体"/>
                <w:b/>
                <w:bCs/>
                <w:color w:val="auto"/>
                <w:sz w:val="21"/>
                <w:szCs w:val="21"/>
                <w:highlight w:val="none"/>
                <w:lang w:eastAsia="zh-CN"/>
              </w:rPr>
              <w:t xml:space="preserve">。</w:t>
            </w:r>
            <w:r/>
          </w:p>
          <w:p>
            <w:pPr>
              <w:keepLines w:val="0"/>
              <w:keepNext w:val="0"/>
              <w:pageBreakBefore w:val="0"/>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6.5 </w:t>
            </w:r>
            <w:r>
              <w:rPr>
                <w:rFonts w:hint="eastAsia" w:ascii="宋体" w:hAnsi="宋体" w:eastAsia="宋体" w:cs="宋体"/>
                <w:b/>
                <w:bCs/>
                <w:color w:val="auto"/>
                <w:sz w:val="21"/>
                <w:szCs w:val="21"/>
                <w:highlight w:val="none"/>
              </w:rPr>
              <w:t xml:space="preserve">主观题智能批阅</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对于程序题，支持教师设置评分标准、测试用例AI会根据预先设定的评分标准和规则，对学生提交的代码进行自动评分，包括代码质量、逻辑正确性、语法规范等方面；对于学生提交的word文档，支持AI在原文件上生成批注痕迹。</w:t>
            </w:r>
            <w:r>
              <w:rPr>
                <w:rFonts w:hint="eastAsia" w:ascii="宋体" w:hAnsi="宋体" w:eastAsia="宋体" w:cs="宋体"/>
                <w:b/>
                <w:bCs/>
                <w:color w:val="auto"/>
                <w:sz w:val="21"/>
                <w:szCs w:val="21"/>
                <w:highlight w:val="none"/>
                <w:lang w:eastAsia="zh-CN"/>
              </w:rPr>
              <w:t xml:space="preserve">完全满足得</w:t>
            </w:r>
            <w:r>
              <w:rPr>
                <w:rFonts w:hint="eastAsia" w:ascii="宋体" w:hAnsi="宋体" w:eastAsia="宋体" w:cs="宋体"/>
                <w:b/>
                <w:bCs/>
                <w:color w:val="auto"/>
                <w:sz w:val="21"/>
                <w:szCs w:val="21"/>
                <w:highlight w:val="none"/>
                <w:lang w:val="en-US" w:eastAsia="zh-CN"/>
              </w:rPr>
              <w:t xml:space="preserve">1分，</w:t>
            </w:r>
            <w:r>
              <w:rPr>
                <w:rFonts w:hint="eastAsia" w:ascii="宋体" w:hAnsi="宋体" w:eastAsia="宋体" w:cs="宋体"/>
                <w:b/>
                <w:bCs/>
                <w:color w:val="auto"/>
                <w:sz w:val="21"/>
                <w:szCs w:val="21"/>
                <w:highlight w:val="none"/>
              </w:rPr>
              <w:t xml:space="preserve">演示不全或者</w:t>
            </w:r>
            <w:r>
              <w:rPr>
                <w:rFonts w:hint="eastAsia" w:ascii="宋体" w:hAnsi="宋体" w:eastAsia="宋体" w:cs="宋体"/>
                <w:b/>
                <w:bCs/>
                <w:color w:val="auto"/>
                <w:sz w:val="21"/>
                <w:szCs w:val="21"/>
                <w:highlight w:val="none"/>
                <w:lang w:eastAsia="zh-CN"/>
              </w:rPr>
              <w:t xml:space="preserve">不满足要求或</w:t>
            </w:r>
            <w:r>
              <w:rPr>
                <w:rFonts w:hint="eastAsia" w:ascii="宋体" w:hAnsi="宋体" w:eastAsia="宋体" w:cs="宋体"/>
                <w:b/>
                <w:bCs/>
                <w:color w:val="auto"/>
                <w:sz w:val="21"/>
                <w:szCs w:val="21"/>
                <w:highlight w:val="none"/>
              </w:rPr>
              <w:t xml:space="preserve">不演示</w:t>
            </w:r>
            <w:r>
              <w:rPr>
                <w:rFonts w:hint="eastAsia" w:ascii="宋体" w:hAnsi="宋体" w:eastAsia="宋体" w:cs="宋体"/>
                <w:b/>
                <w:bCs/>
                <w:color w:val="auto"/>
                <w:sz w:val="21"/>
                <w:szCs w:val="21"/>
                <w:highlight w:val="none"/>
                <w:lang w:eastAsia="zh-CN"/>
              </w:rPr>
              <w:t xml:space="preserve">本项</w:t>
            </w:r>
            <w:r>
              <w:rPr>
                <w:rFonts w:hint="eastAsia" w:ascii="宋体" w:hAnsi="宋体" w:eastAsia="宋体" w:cs="宋体"/>
                <w:b/>
                <w:bCs/>
                <w:color w:val="auto"/>
                <w:sz w:val="21"/>
                <w:szCs w:val="21"/>
                <w:highlight w:val="none"/>
              </w:rPr>
              <w:t xml:space="preserve">不得分</w:t>
            </w:r>
            <w:r>
              <w:rPr>
                <w:rFonts w:hint="eastAsia" w:ascii="宋体" w:hAnsi="宋体" w:eastAsia="宋体" w:cs="宋体"/>
                <w:b/>
                <w:bCs/>
                <w:color w:val="auto"/>
                <w:sz w:val="21"/>
                <w:szCs w:val="21"/>
                <w:highlight w:val="none"/>
                <w:lang w:eastAsia="zh-CN"/>
              </w:rPr>
              <w:t xml:space="preserve">。</w:t>
            </w:r>
            <w:r/>
          </w:p>
          <w:p>
            <w:pPr>
              <w:keepLines w:val="0"/>
              <w:keepNext w:val="0"/>
              <w:pageBreakBefore w:val="0"/>
              <w:spacing w:line="42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6.6 </w:t>
            </w:r>
            <w:r>
              <w:rPr>
                <w:rFonts w:hint="eastAsia" w:ascii="宋体" w:hAnsi="宋体" w:eastAsia="宋体" w:cs="宋体"/>
                <w:b/>
                <w:bCs/>
                <w:color w:val="auto"/>
                <w:sz w:val="21"/>
                <w:szCs w:val="21"/>
                <w:highlight w:val="none"/>
              </w:rPr>
              <w:t xml:space="preserve">AI实践</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针对答题练习场景，支持教师设置核心问题及对应考核维度、知识点，AI 可依据任务类型、核心问题、考核维度与知识点自动生成多样化试题，并根据学生作答内容判断考核维度激活状态。对未激活的维度及知识点，系统将逐步引导学生补充作答以完成维度激活，最终结合学生完整作答过程生成学习质量评估报告，全面反映学生学习情况。</w:t>
            </w:r>
            <w:r>
              <w:rPr>
                <w:rFonts w:hint="eastAsia" w:ascii="宋体" w:hAnsi="宋体" w:eastAsia="宋体" w:cs="宋体"/>
                <w:b/>
                <w:bCs/>
                <w:color w:val="auto"/>
                <w:sz w:val="21"/>
                <w:szCs w:val="21"/>
                <w:highlight w:val="none"/>
                <w:lang w:eastAsia="zh-CN"/>
              </w:rPr>
              <w:t xml:space="preserve">完全满足得</w:t>
            </w:r>
            <w:r>
              <w:rPr>
                <w:rFonts w:hint="eastAsia" w:ascii="宋体" w:hAnsi="宋体" w:eastAsia="宋体" w:cs="宋体"/>
                <w:b/>
                <w:bCs/>
                <w:color w:val="auto"/>
                <w:sz w:val="21"/>
                <w:szCs w:val="21"/>
                <w:highlight w:val="none"/>
                <w:lang w:val="en-US" w:eastAsia="zh-CN"/>
              </w:rPr>
              <w:t xml:space="preserve">1分，</w:t>
            </w:r>
            <w:r>
              <w:rPr>
                <w:rFonts w:hint="eastAsia" w:ascii="宋体" w:hAnsi="宋体" w:eastAsia="宋体" w:cs="宋体"/>
                <w:b/>
                <w:bCs/>
                <w:color w:val="auto"/>
                <w:sz w:val="21"/>
                <w:szCs w:val="21"/>
                <w:highlight w:val="none"/>
              </w:rPr>
              <w:t xml:space="preserve">演示不全或者</w:t>
            </w:r>
            <w:r>
              <w:rPr>
                <w:rFonts w:hint="eastAsia" w:ascii="宋体" w:hAnsi="宋体" w:eastAsia="宋体" w:cs="宋体"/>
                <w:b/>
                <w:bCs/>
                <w:color w:val="auto"/>
                <w:sz w:val="21"/>
                <w:szCs w:val="21"/>
                <w:highlight w:val="none"/>
                <w:lang w:eastAsia="zh-CN"/>
              </w:rPr>
              <w:t xml:space="preserve">不满足要求或</w:t>
            </w:r>
            <w:r>
              <w:rPr>
                <w:rFonts w:hint="eastAsia" w:ascii="宋体" w:hAnsi="宋体" w:eastAsia="宋体" w:cs="宋体"/>
                <w:b/>
                <w:bCs/>
                <w:color w:val="auto"/>
                <w:sz w:val="21"/>
                <w:szCs w:val="21"/>
                <w:highlight w:val="none"/>
              </w:rPr>
              <w:t xml:space="preserve">不演示</w:t>
            </w:r>
            <w:r>
              <w:rPr>
                <w:rFonts w:hint="eastAsia" w:ascii="宋体" w:hAnsi="宋体" w:eastAsia="宋体" w:cs="宋体"/>
                <w:b/>
                <w:bCs/>
                <w:color w:val="auto"/>
                <w:sz w:val="21"/>
                <w:szCs w:val="21"/>
                <w:highlight w:val="none"/>
                <w:lang w:eastAsia="zh-CN"/>
              </w:rPr>
              <w:t xml:space="preserve">本项</w:t>
            </w:r>
            <w:r>
              <w:rPr>
                <w:rFonts w:hint="eastAsia" w:ascii="宋体" w:hAnsi="宋体" w:eastAsia="宋体" w:cs="宋体"/>
                <w:b/>
                <w:bCs/>
                <w:color w:val="auto"/>
                <w:sz w:val="21"/>
                <w:szCs w:val="21"/>
                <w:highlight w:val="none"/>
              </w:rPr>
              <w:t xml:space="preserve">不得分</w:t>
            </w:r>
            <w:r>
              <w:rPr>
                <w:rFonts w:hint="eastAsia" w:ascii="宋体" w:hAnsi="宋体" w:eastAsia="宋体" w:cs="宋体"/>
                <w:b/>
                <w:bCs/>
                <w:color w:val="auto"/>
                <w:sz w:val="21"/>
                <w:szCs w:val="21"/>
                <w:highlight w:val="none"/>
                <w:lang w:eastAsia="zh-CN"/>
              </w:rPr>
              <w:t xml:space="preserve">。</w:t>
            </w:r>
            <w:r/>
          </w:p>
          <w:p>
            <w:pPr>
              <w:keepLines w:val="0"/>
              <w:keepNext w:val="0"/>
              <w:pageBreakBefore w:val="0"/>
              <w:spacing w:line="4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6.7 </w:t>
            </w:r>
            <w:r>
              <w:rPr>
                <w:rFonts w:hint="eastAsia" w:ascii="宋体" w:hAnsi="宋体" w:eastAsia="宋体" w:cs="宋体"/>
                <w:b/>
                <w:bCs/>
                <w:color w:val="auto"/>
                <w:sz w:val="21"/>
                <w:szCs w:val="21"/>
                <w:highlight w:val="none"/>
              </w:rPr>
              <w:t xml:space="preserve">AI实践</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对于语言类课程教学场景，支持英语、日语、西班牙语等多种语言的对话、跟读练习。学生和AI进行语音对话，AI可对学生的发音准确度、流利度、表达内容质量等方面进行分析。</w:t>
            </w:r>
            <w:r>
              <w:rPr>
                <w:rFonts w:hint="eastAsia" w:ascii="宋体" w:hAnsi="宋体" w:eastAsia="宋体" w:cs="宋体"/>
                <w:b/>
                <w:bCs/>
                <w:color w:val="auto"/>
                <w:sz w:val="21"/>
                <w:szCs w:val="21"/>
                <w:highlight w:val="none"/>
                <w:lang w:eastAsia="zh-CN"/>
              </w:rPr>
              <w:t xml:space="preserve">完全满足得</w:t>
            </w:r>
            <w:r>
              <w:rPr>
                <w:rFonts w:hint="eastAsia" w:ascii="宋体" w:hAnsi="宋体" w:eastAsia="宋体" w:cs="宋体"/>
                <w:b/>
                <w:bCs/>
                <w:color w:val="auto"/>
                <w:sz w:val="21"/>
                <w:szCs w:val="21"/>
                <w:highlight w:val="none"/>
                <w:lang w:val="en-US" w:eastAsia="zh-CN"/>
              </w:rPr>
              <w:t xml:space="preserve">1分，</w:t>
            </w:r>
            <w:r>
              <w:rPr>
                <w:rFonts w:hint="eastAsia" w:ascii="宋体" w:hAnsi="宋体" w:eastAsia="宋体" w:cs="宋体"/>
                <w:b/>
                <w:bCs/>
                <w:color w:val="auto"/>
                <w:sz w:val="21"/>
                <w:szCs w:val="21"/>
                <w:highlight w:val="none"/>
              </w:rPr>
              <w:t xml:space="preserve">演示不全或者</w:t>
            </w:r>
            <w:r>
              <w:rPr>
                <w:rFonts w:hint="eastAsia" w:ascii="宋体" w:hAnsi="宋体" w:eastAsia="宋体" w:cs="宋体"/>
                <w:b/>
                <w:bCs/>
                <w:color w:val="auto"/>
                <w:sz w:val="21"/>
                <w:szCs w:val="21"/>
                <w:highlight w:val="none"/>
                <w:lang w:eastAsia="zh-CN"/>
              </w:rPr>
              <w:t xml:space="preserve">不满足要求或</w:t>
            </w:r>
            <w:r>
              <w:rPr>
                <w:rFonts w:hint="eastAsia" w:ascii="宋体" w:hAnsi="宋体" w:eastAsia="宋体" w:cs="宋体"/>
                <w:b/>
                <w:bCs/>
                <w:color w:val="auto"/>
                <w:sz w:val="21"/>
                <w:szCs w:val="21"/>
                <w:highlight w:val="none"/>
              </w:rPr>
              <w:t xml:space="preserve">不演示</w:t>
            </w:r>
            <w:r>
              <w:rPr>
                <w:rFonts w:hint="eastAsia" w:ascii="宋体" w:hAnsi="宋体" w:eastAsia="宋体" w:cs="宋体"/>
                <w:b/>
                <w:bCs/>
                <w:color w:val="auto"/>
                <w:sz w:val="21"/>
                <w:szCs w:val="21"/>
                <w:highlight w:val="none"/>
                <w:lang w:eastAsia="zh-CN"/>
              </w:rPr>
              <w:t xml:space="preserve">本项</w:t>
            </w:r>
            <w:r>
              <w:rPr>
                <w:rFonts w:hint="eastAsia" w:ascii="宋体" w:hAnsi="宋体" w:eastAsia="宋体" w:cs="宋体"/>
                <w:b/>
                <w:bCs/>
                <w:color w:val="auto"/>
                <w:sz w:val="21"/>
                <w:szCs w:val="21"/>
                <w:highlight w:val="none"/>
              </w:rPr>
              <w:t xml:space="preserve">不得分</w:t>
            </w:r>
            <w:r>
              <w:rPr>
                <w:rFonts w:hint="eastAsia" w:ascii="宋体" w:hAnsi="宋体" w:eastAsia="宋体" w:cs="宋体"/>
                <w:b/>
                <w:bCs/>
                <w:color w:val="auto"/>
                <w:sz w:val="21"/>
                <w:szCs w:val="21"/>
                <w:highlight w:val="none"/>
                <w:lang w:eastAsia="zh-CN"/>
              </w:rPr>
              <w:t xml:space="preserve">。</w:t>
            </w:r>
            <w:r/>
          </w:p>
          <w:p>
            <w:pPr>
              <w:keepLines w:val="0"/>
              <w:keepNext w:val="0"/>
              <w:pageBreakBefore w:val="0"/>
              <w:spacing w:line="42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6.8 </w:t>
            </w:r>
            <w:r>
              <w:rPr>
                <w:rFonts w:hint="eastAsia" w:ascii="宋体" w:hAnsi="宋体" w:eastAsia="宋体" w:cs="宋体"/>
                <w:b/>
                <w:bCs/>
                <w:color w:val="auto"/>
                <w:sz w:val="21"/>
                <w:szCs w:val="21"/>
                <w:highlight w:val="none"/>
              </w:rPr>
              <w:t xml:space="preserve">智能翻译</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PDF文件上传翻译，可以由英文、日文、韩文、法文、德文翻译为中文，支持10M、100页以内的PDF文档，支持查看翻译中状态，如原语言/目标语言、翻译时间、文件大小。支持阅读翻译结果对照显示模式和演示模式，支持按关键字搜索，全亮显示或者区分大小写。支持划词翻译，滑动对照显示窗口时，原文和译文同步滑动。</w:t>
            </w:r>
            <w:r>
              <w:rPr>
                <w:rFonts w:hint="eastAsia" w:ascii="宋体" w:hAnsi="宋体" w:eastAsia="宋体" w:cs="宋体"/>
                <w:b/>
                <w:bCs/>
                <w:color w:val="auto"/>
                <w:sz w:val="21"/>
                <w:szCs w:val="21"/>
                <w:highlight w:val="none"/>
                <w:lang w:eastAsia="zh-CN"/>
              </w:rPr>
              <w:t xml:space="preserve">完全满足得1分，演示不全或者不满足要求或不演示本项不得分。</w:t>
            </w:r>
            <w:r/>
          </w:p>
          <w:p>
            <w:pPr>
              <w:keepLines w:val="0"/>
              <w:keepNext w:val="0"/>
              <w:pageBreakBefore w:val="0"/>
              <w:spacing w:line="42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6.9 </w:t>
            </w:r>
            <w:r>
              <w:rPr>
                <w:rFonts w:hint="eastAsia" w:ascii="宋体" w:hAnsi="宋体" w:eastAsia="宋体" w:cs="宋体"/>
                <w:b/>
                <w:bCs/>
                <w:color w:val="auto"/>
                <w:sz w:val="21"/>
                <w:szCs w:val="21"/>
                <w:highlight w:val="none"/>
              </w:rPr>
              <w:t xml:space="preserve">数字教材后台管理系统</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管理员可进行单本发布或批量发布。发布后，用户方可查看;管理后台需支持教材封面的上传，教材id、名称、主编、出版社、ISBN号等版权信息和教材内容简介的编辑;支持根据实际情况设置付费或免费，付费教材的购买记录可在后台形成数据统计。</w:t>
            </w:r>
            <w:r>
              <w:rPr>
                <w:rFonts w:hint="eastAsia" w:ascii="宋体" w:hAnsi="宋体" w:eastAsia="宋体" w:cs="宋体"/>
                <w:b/>
                <w:bCs/>
                <w:color w:val="auto"/>
                <w:sz w:val="21"/>
                <w:szCs w:val="21"/>
                <w:highlight w:val="none"/>
                <w:lang w:eastAsia="zh-CN"/>
              </w:rPr>
              <w:t xml:space="preserve">完全满足得1分，演示不全或者不满足要求或不演示本项不得分。</w:t>
            </w:r>
            <w:r/>
          </w:p>
          <w:p>
            <w:pPr>
              <w:keepLines w:val="0"/>
              <w:keepNext w:val="0"/>
              <w:pageBreakBefore w:val="0"/>
              <w:spacing w:line="42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6.10 </w:t>
            </w:r>
            <w:r>
              <w:rPr>
                <w:rFonts w:hint="eastAsia" w:ascii="宋体" w:hAnsi="宋体" w:eastAsia="宋体" w:cs="宋体"/>
                <w:b/>
                <w:bCs/>
                <w:color w:val="auto"/>
                <w:sz w:val="21"/>
                <w:szCs w:val="21"/>
                <w:highlight w:val="none"/>
              </w:rPr>
              <w:t xml:space="preserve">问题图谱</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提供探索模式，使学生能够选择并深入分析多组问题，系统引导学生思考并整合相关联的知识点，支持学生识别并连接主线问题与子级问题，构建问题之间的层级关系，加深对问题网络的理解，为方便学生便捷探索，系统需提供“终止探索”和“提交”两种方式，且终止探索后记录不能被存档。</w:t>
            </w:r>
            <w:r>
              <w:rPr>
                <w:rFonts w:hint="eastAsia" w:ascii="宋体" w:hAnsi="宋体" w:eastAsia="宋体" w:cs="宋体"/>
                <w:b/>
                <w:bCs/>
                <w:color w:val="auto"/>
                <w:sz w:val="21"/>
                <w:szCs w:val="21"/>
                <w:highlight w:val="none"/>
                <w:lang w:eastAsia="zh-CN"/>
              </w:rPr>
              <w:t xml:space="preserve">完全满足得1分，演示不全或者不满足要求或不演示本项不得分。</w:t>
            </w:r>
            <w:r/>
          </w:p>
          <w:p>
            <w:pPr>
              <w:keepLines w:val="0"/>
              <w:keepNext w:val="0"/>
              <w:pageBreakBefore w:val="0"/>
              <w:spacing w:line="42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6.11 </w:t>
            </w:r>
            <w:r>
              <w:rPr>
                <w:rFonts w:hint="eastAsia" w:ascii="宋体" w:hAnsi="宋体" w:eastAsia="宋体" w:cs="宋体"/>
                <w:b/>
                <w:bCs/>
                <w:color w:val="auto"/>
                <w:sz w:val="21"/>
                <w:szCs w:val="21"/>
                <w:highlight w:val="none"/>
              </w:rPr>
              <w:t xml:space="preserve">教研活动管理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lang w:eastAsia="zh-Hans"/>
              </w:rPr>
              <w:t xml:space="preserve">支持进行</w:t>
            </w:r>
            <w:r>
              <w:rPr>
                <w:rFonts w:hint="eastAsia" w:ascii="宋体" w:hAnsi="宋体" w:eastAsia="宋体" w:cs="宋体"/>
                <w:color w:val="auto"/>
                <w:sz w:val="21"/>
                <w:szCs w:val="21"/>
                <w:highlight w:val="none"/>
              </w:rPr>
              <w:t xml:space="preserve">教研活动</w:t>
            </w:r>
            <w:r>
              <w:rPr>
                <w:rFonts w:hint="eastAsia" w:ascii="宋体" w:hAnsi="宋体" w:eastAsia="宋体" w:cs="宋体"/>
                <w:color w:val="auto"/>
                <w:sz w:val="21"/>
                <w:szCs w:val="21"/>
                <w:highlight w:val="none"/>
                <w:lang w:eastAsia="zh-Hans"/>
              </w:rPr>
              <w:t xml:space="preserve">失信管理设置，设定失信条件，限制失信人员报名</w:t>
            </w:r>
            <w:r>
              <w:rPr>
                <w:rFonts w:hint="eastAsia" w:ascii="宋体" w:hAnsi="宋体" w:eastAsia="宋体" w:cs="宋体"/>
                <w:color w:val="auto"/>
                <w:sz w:val="21"/>
                <w:szCs w:val="21"/>
                <w:highlight w:val="none"/>
              </w:rPr>
              <w:t xml:space="preserve">活动</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b/>
                <w:bCs/>
                <w:color w:val="auto"/>
                <w:sz w:val="21"/>
                <w:szCs w:val="21"/>
                <w:highlight w:val="none"/>
                <w:lang w:eastAsia="zh-CN"/>
              </w:rPr>
              <w:t xml:space="preserve">完全满足得1分，演示不全或者不满足要求或不演示本项不得分。</w:t>
            </w:r>
            <w:r/>
          </w:p>
          <w:p>
            <w:pPr>
              <w:keepLines w:val="0"/>
              <w:keepNext w:val="0"/>
              <w:pageBreakBefore w:val="0"/>
              <w:spacing w:line="42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6.12 </w:t>
            </w:r>
            <w:r>
              <w:rPr>
                <w:rFonts w:hint="eastAsia" w:ascii="宋体" w:hAnsi="宋体" w:eastAsia="宋体" w:cs="宋体"/>
                <w:b/>
                <w:bCs/>
                <w:color w:val="auto"/>
                <w:sz w:val="21"/>
                <w:szCs w:val="21"/>
                <w:highlight w:val="none"/>
              </w:rPr>
              <w:t xml:space="preserve">自研教研会议系统</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语音转写功能，支持设置开启转写功能时默认同时进行实时转写和同声翻译。支持教师设置声源语言及翻译显示，支持中转英、中转韩、中转日、中转泰、中转印尼语、中转越南语、中转马来语、中转葡萄牙、中转葡萄牙语等10种以上语言；支持自定义设置允许加入的人员，及锁定课堂功能。</w:t>
            </w:r>
            <w:r>
              <w:rPr>
                <w:rFonts w:hint="eastAsia" w:ascii="宋体" w:hAnsi="宋体" w:eastAsia="宋体" w:cs="宋体"/>
                <w:b/>
                <w:bCs/>
                <w:color w:val="auto"/>
                <w:sz w:val="21"/>
                <w:szCs w:val="21"/>
                <w:highlight w:val="none"/>
                <w:lang w:eastAsia="zh-CN"/>
              </w:rPr>
              <w:t xml:space="preserve">完全满足得1分，演示不全或者不满足要求或不演示本项不得分。</w:t>
            </w:r>
            <w:r/>
          </w:p>
          <w:p>
            <w:pPr>
              <w:keepLines w:val="0"/>
              <w:keepNext w:val="0"/>
              <w:pageBreakBefore w:val="0"/>
              <w:spacing w:line="42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6.13 </w:t>
            </w:r>
            <w:r>
              <w:rPr>
                <w:rFonts w:hint="eastAsia" w:ascii="宋体" w:hAnsi="宋体" w:eastAsia="宋体" w:cs="宋体"/>
                <w:b/>
                <w:bCs/>
                <w:color w:val="auto"/>
                <w:sz w:val="21"/>
                <w:szCs w:val="21"/>
                <w:highlight w:val="none"/>
              </w:rPr>
              <w:t xml:space="preserve">作品评审</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对评审作品进行手动分配、随机分配，可设置随机分配规则，包括评审作品范围、评审专家范围、专家最多评审几个作品、是否评审相同学科、回避同院系等规则。支持自定义设置评审指标，支持根据实际情况设置网络评审或者线下评审，设置评分量表时，支持开启分项评分、权重分项分数，支持评审过程中后台管理员查看各个专家的评审进度。</w:t>
            </w:r>
            <w:r>
              <w:rPr>
                <w:rFonts w:hint="eastAsia" w:ascii="宋体" w:hAnsi="宋体" w:eastAsia="宋体" w:cs="宋体"/>
                <w:b/>
                <w:bCs/>
                <w:color w:val="auto"/>
                <w:sz w:val="21"/>
                <w:szCs w:val="21"/>
                <w:highlight w:val="none"/>
                <w:lang w:eastAsia="zh-CN"/>
              </w:rPr>
              <w:t xml:space="preserve">完全满足得1分，演示不全或者不满足要求或不演示本项不得分。</w:t>
            </w:r>
            <w:r/>
          </w:p>
          <w:p>
            <w:pPr>
              <w:keepLines w:val="0"/>
              <w:keepNext w:val="0"/>
              <w:pageBreakBefore w:val="0"/>
              <w:spacing w:line="42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6.14 </w:t>
            </w:r>
            <w:r>
              <w:rPr>
                <w:rFonts w:hint="eastAsia" w:ascii="宋体" w:hAnsi="宋体" w:eastAsia="宋体" w:cs="宋体"/>
                <w:b/>
                <w:bCs/>
                <w:color w:val="auto"/>
                <w:sz w:val="21"/>
                <w:szCs w:val="21"/>
                <w:highlight w:val="none"/>
              </w:rPr>
              <w:t xml:space="preserve">智能体</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按照学校需求设置独立智能体，而不是在课程中建设的智能体。支持自建插件、MCP服务，支持自定义插件名称、插件地址、插件描述、请求头、请求参数，请求参数的类型支持选择Form、Json,并且支持自动解析。</w:t>
            </w:r>
            <w:r>
              <w:rPr>
                <w:rFonts w:hint="eastAsia" w:ascii="宋体" w:hAnsi="宋体" w:eastAsia="宋体" w:cs="宋体"/>
                <w:b/>
                <w:bCs/>
                <w:color w:val="auto"/>
                <w:sz w:val="21"/>
                <w:szCs w:val="21"/>
                <w:highlight w:val="none"/>
                <w:lang w:eastAsia="zh-CN"/>
              </w:rPr>
              <w:t xml:space="preserve">完全满足得1分，演示不全或者不满足要求或不演示本项不得分。</w:t>
            </w:r>
            <w:r/>
          </w:p>
          <w:p>
            <w:pPr>
              <w:pStyle w:val="987"/>
              <w:jc w:val="both"/>
              <w:keepLines w:val="0"/>
              <w:keepNext w:val="0"/>
              <w:pageBreakBefore w:val="0"/>
              <w:spacing w:line="42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6.15 </w:t>
            </w:r>
            <w:r>
              <w:rPr>
                <w:rFonts w:hint="eastAsia" w:ascii="宋体" w:hAnsi="宋体" w:eastAsia="宋体" w:cs="宋体"/>
                <w:b/>
                <w:bCs/>
                <w:color w:val="auto"/>
                <w:sz w:val="21"/>
                <w:szCs w:val="21"/>
                <w:highlight w:val="none"/>
              </w:rPr>
              <w:t xml:space="preserve">教师教学能力提升课程资源</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移动端查看在线课程，支持独立移动端客户端，支持安卓、ios及鸿蒙系统。“在线课程”中展示1000+门在线课程列表，显示不同课程分类，查看课程学时学分，一键加入报名；并且支持报名直播讲堂，时长为1小时的直播讲堂，加入直播讲堂，观看每期直播，评论区发表留言，可支持回看，查看往期直播列表。</w:t>
            </w:r>
            <w:r>
              <w:rPr>
                <w:rFonts w:hint="eastAsia" w:ascii="宋体" w:hAnsi="宋体" w:eastAsia="宋体" w:cs="宋体"/>
                <w:b/>
                <w:bCs/>
                <w:color w:val="auto"/>
                <w:sz w:val="21"/>
                <w:szCs w:val="21"/>
                <w:highlight w:val="none"/>
                <w:lang w:eastAsia="zh-CN"/>
              </w:rPr>
              <w:t xml:space="preserve">完全满足得1分，演示不全或者不满足要求或不演示本项不得分。</w:t>
            </w:r>
            <w:r/>
          </w:p>
        </w:tc>
      </w:tr>
      <w:tr>
        <w:trPr/>
        <w:tc>
          <w:tcPr>
            <w:tcW w:w="717"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合计</w:t>
            </w:r>
            <w:r/>
          </w:p>
        </w:tc>
        <w:tc>
          <w:tcPr>
            <w:tcW w:w="1062"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706"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100</w:t>
            </w:r>
            <w:r/>
          </w:p>
        </w:tc>
        <w:tc>
          <w:tcPr>
            <w:tcW w:w="7994" w:type="dxa"/>
            <w:vAlign w:val="center"/>
            <w:textDirection w:val="lrTb"/>
            <w:noWrap w:val="false"/>
          </w:tcPr>
          <w:p>
            <w:pPr>
              <w:jc w:val="both"/>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723"/>
        <w:jc w:val="center"/>
        <w:spacing w:line="360" w:lineRule="auto"/>
        <w:rPr>
          <w:rFonts w:hint="eastAsia" w:ascii="宋体" w:hAnsi="宋体" w:eastAsia="宋体" w:cs="宋体"/>
          <w:color w:val="auto"/>
          <w:sz w:val="24"/>
          <w:highlight w:val="none"/>
        </w:rPr>
        <w:outlineLvl w:val="0"/>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第五章   采购需求</w:t>
      </w:r>
      <w:bookmarkEnd w:id="231"/>
      <w:r/>
      <w:r/>
    </w:p>
    <w:p>
      <w:pPr>
        <w:contextualSpacing/>
        <w:keepLines w:val="0"/>
        <w:keepNext w:val="0"/>
        <w:pageBreakBefore w:val="0"/>
        <w:spacing w:line="336" w:lineRule="auto"/>
        <w:widowControl w:val="off"/>
        <w:rPr>
          <w:rFonts w:hint="eastAsia" w:ascii="宋体" w:hAnsi="宋体" w:eastAsia="宋体" w:cs="宋体"/>
          <w:b/>
          <w:bCs/>
          <w:color w:val="auto"/>
          <w:sz w:val="24"/>
          <w:szCs w:val="24"/>
          <w:highlight w:val="none"/>
          <w:lang w:eastAsia="zh-CN"/>
        </w:rPr>
      </w:pPr>
      <w:r/>
      <w:bookmarkStart w:id="233" w:name="_Toc14798"/>
      <w:r>
        <w:rPr>
          <w:rFonts w:hint="eastAsia" w:ascii="宋体" w:hAnsi="宋体" w:eastAsia="宋体" w:cs="宋体"/>
          <w:b/>
          <w:bCs/>
          <w:color w:val="auto"/>
          <w:sz w:val="24"/>
          <w:szCs w:val="24"/>
          <w:highlight w:val="none"/>
          <w:lang w:eastAsia="zh-CN"/>
        </w:rPr>
        <w:t xml:space="preserve">一、采购标的</w:t>
      </w:r>
      <w:r/>
    </w:p>
    <w:p>
      <w:pPr>
        <w:contextualSpacing/>
        <w:ind w:left="0" w:firstLine="482"/>
        <w:keepLines w:val="0"/>
        <w:keepNext w:val="0"/>
        <w:pageBreakBefore w:val="0"/>
        <w:spacing w:line="336"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1.项目内容</w:t>
      </w:r>
      <w:r/>
    </w:p>
    <w:tbl>
      <w:tblPr>
        <w:tblStyle w:val="98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3060"/>
        <w:gridCol w:w="1873"/>
        <w:gridCol w:w="1890"/>
        <w:gridCol w:w="2304"/>
      </w:tblGrid>
      <w:tr>
        <w:trPr>
          <w:jc w:val="center"/>
          <w:trHeight w:val="653"/>
        </w:trPr>
        <w:tc>
          <w:tcPr>
            <w:tcW w:w="7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W w:w="3060"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标的名称</w:t>
            </w:r>
            <w:r/>
          </w:p>
        </w:tc>
        <w:tc>
          <w:tcPr>
            <w:tcW w:w="1873"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预算金额</w:t>
            </w:r>
            <w:r/>
          </w:p>
        </w:tc>
        <w:tc>
          <w:tcPr>
            <w:tcW w:w="1890"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最高限价</w:t>
            </w:r>
            <w:r/>
          </w:p>
        </w:tc>
        <w:tc>
          <w:tcPr>
            <w:tcW w:w="2304"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简要技术需求或服务要求</w:t>
            </w:r>
            <w:r/>
          </w:p>
        </w:tc>
      </w:tr>
      <w:tr>
        <w:trPr>
          <w:jc w:val="center"/>
          <w:trHeight w:val="454"/>
        </w:trPr>
        <w:tc>
          <w:tcPr>
            <w:tcW w:w="7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01</w:t>
            </w:r>
            <w:r/>
          </w:p>
        </w:tc>
        <w:tc>
          <w:tcPr>
            <w:tcW w:w="3060" w:type="dxa"/>
            <w:vAlign w:val="center"/>
            <w:textDirection w:val="lrTb"/>
            <w:noWrap w:val="false"/>
          </w:tcPr>
          <w:p>
            <w:pPr>
              <w:jc w:val="center"/>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常州机电职业技术学院AI+智慧教学中心服务项目</w:t>
            </w:r>
            <w:r/>
          </w:p>
        </w:tc>
        <w:tc>
          <w:tcPr>
            <w:tcW w:w="1873" w:type="dxa"/>
            <w:vAlign w:val="center"/>
            <w:textDirection w:val="lrTb"/>
            <w:noWrap w:val="false"/>
          </w:tcPr>
          <w:p>
            <w:pPr>
              <w:jc w:val="center"/>
              <w:rPr>
                <w:rFonts w:hint="eastAsia" w:ascii="宋体" w:hAnsi="宋体" w:eastAsia="宋体" w:cs="宋体"/>
                <w:bCs/>
                <w:color w:val="auto"/>
                <w:sz w:val="24"/>
                <w:highlight w:val="none"/>
                <w:lang w:val="en-US" w:eastAsia="zh-CN"/>
              </w:rPr>
            </w:pPr>
            <w:r>
              <w:rPr>
                <w:rFonts w:hint="eastAsia" w:ascii="宋体" w:hAnsi="宋体" w:eastAsia="宋体" w:cs="宋体"/>
                <w:color w:val="auto"/>
                <w:sz w:val="24"/>
                <w:highlight w:val="none"/>
                <w:lang w:val="en-US" w:eastAsia="zh-CN"/>
              </w:rPr>
              <w:t xml:space="preserve">125万元/年，375万元（三年）</w:t>
            </w:r>
            <w:r/>
          </w:p>
        </w:tc>
        <w:tc>
          <w:tcPr>
            <w:tcW w:w="1890" w:type="dxa"/>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125万元/年，375万元（三年）</w:t>
            </w:r>
            <w:r/>
          </w:p>
        </w:tc>
        <w:tc>
          <w:tcPr>
            <w:tcW w:w="2304"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详见</w:t>
            </w:r>
            <w:r>
              <w:rPr>
                <w:rFonts w:hint="eastAsia" w:ascii="宋体" w:hAnsi="宋体" w:eastAsia="宋体" w:cs="宋体"/>
                <w:color w:val="auto"/>
                <w:sz w:val="24"/>
                <w:highlight w:val="none"/>
                <w:lang w:eastAsia="zh-CN"/>
              </w:rPr>
              <w:t xml:space="preserve">项目概况</w:t>
            </w:r>
            <w:r/>
          </w:p>
        </w:tc>
      </w:tr>
    </w:tbl>
    <w:p>
      <w:pPr>
        <w:contextualSpacing/>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2.项目概况</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本项目旨在构建常州机电职业技术学院以</w:t>
      </w:r>
      <w:r>
        <w:rPr>
          <w:rFonts w:hint="eastAsia" w:ascii="宋体" w:hAnsi="宋体" w:eastAsia="宋体" w:cs="宋体"/>
          <w:color w:val="auto"/>
          <w:sz w:val="24"/>
          <w:szCs w:val="24"/>
          <w:highlight w:val="none"/>
          <w:lang w:val="en-US" w:eastAsia="zh-CN"/>
        </w:rPr>
        <w:t xml:space="preserve">学生为中心的AI+智慧教学中心，把各类教学应用平台、教学资源、应用数据等进行一体化整合、打通，借助大数据分析与人工智能技术，深度融合AI教学工具与智能体，支撑个性化教与学，推进教学、资源、管理与评价的一体化建设，推动学校教学全流程数字化整合与智能化升级，助力学校教学管理信息化水平与教学质量全面提升。投标人所提供的产品服务需包含如下功能模块:网络教学系统、课堂互动系统、大数据分析系统、AI教学服务、能力图谱、智能体、校本数字教材平台、虚拟教研室平台、校级竞赛管理系统、教师教学能力提升课程资源、一体化教学门户。</w:t>
      </w:r>
      <w:r/>
    </w:p>
    <w:p>
      <w:pPr>
        <w:pStyle w:val="1106"/>
        <w:contextualSpacing/>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3.项目清单</w:t>
      </w:r>
      <w:r/>
    </w:p>
    <w:tbl>
      <w:tblPr>
        <w:tblStyle w:val="980"/>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5018"/>
        <w:gridCol w:w="2705"/>
      </w:tblGrid>
      <w:tr>
        <w:trPr>
          <w:jc w:val="center"/>
          <w:trHeight w:val="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pStyle w:val="125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5018" w:type="dxa"/>
            <w:vAlign w:val="center"/>
            <w:textDirection w:val="lrTb"/>
            <w:noWrap w:val="false"/>
          </w:tcPr>
          <w:p>
            <w:pPr>
              <w:pStyle w:val="125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pStyle w:val="125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数量</w:t>
            </w:r>
            <w:r/>
          </w:p>
        </w:tc>
      </w:tr>
      <w:tr>
        <w:trPr>
          <w:jc w:val="center"/>
          <w:trHeight w:val="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pStyle w:val="125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5018" w:type="dxa"/>
            <w:vAlign w:val="center"/>
            <w:textDirection w:val="lrTb"/>
            <w:noWrap w:val="false"/>
          </w:tcPr>
          <w:p>
            <w:pPr>
              <w:pStyle w:val="125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网络教学系统</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pStyle w:val="125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w:t>
            </w:r>
            <w:r/>
          </w:p>
        </w:tc>
      </w:tr>
      <w:tr>
        <w:trPr>
          <w:jc w:val="center"/>
          <w:trHeight w:val="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pStyle w:val="125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5018" w:type="dxa"/>
            <w:vAlign w:val="center"/>
            <w:textDirection w:val="lrTb"/>
            <w:noWrap w:val="false"/>
          </w:tcPr>
          <w:p>
            <w:pPr>
              <w:pStyle w:val="125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课堂互动系统</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pStyle w:val="125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w:t>
            </w:r>
            <w:r/>
          </w:p>
        </w:tc>
      </w:tr>
      <w:tr>
        <w:trPr>
          <w:jc w:val="center"/>
          <w:trHeight w:val="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pStyle w:val="125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5018" w:type="dxa"/>
            <w:vAlign w:val="center"/>
            <w:textDirection w:val="lrTb"/>
            <w:noWrap w:val="false"/>
          </w:tcPr>
          <w:p>
            <w:pPr>
              <w:pStyle w:val="125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大数据分析系统</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pStyle w:val="125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w:t>
            </w:r>
            <w:r/>
          </w:p>
        </w:tc>
      </w:tr>
      <w:tr>
        <w:trPr>
          <w:jc w:val="center"/>
          <w:trHeight w:val="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pStyle w:val="125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5018" w:type="dxa"/>
            <w:vAlign w:val="center"/>
            <w:textDirection w:val="lrTb"/>
            <w:noWrap w:val="false"/>
          </w:tcPr>
          <w:p>
            <w:pPr>
              <w:pStyle w:val="125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AI教学服务</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pStyle w:val="125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w:t>
            </w:r>
            <w:r/>
          </w:p>
        </w:tc>
      </w:tr>
      <w:tr>
        <w:trPr>
          <w:jc w:val="center"/>
          <w:trHeight w:val="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pStyle w:val="125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5018" w:type="dxa"/>
            <w:vAlign w:val="center"/>
            <w:textDirection w:val="lrTb"/>
            <w:noWrap w:val="false"/>
          </w:tcPr>
          <w:p>
            <w:pPr>
              <w:pStyle w:val="125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能力图谱</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pStyle w:val="125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w:t>
            </w:r>
            <w:r/>
          </w:p>
        </w:tc>
      </w:tr>
      <w:tr>
        <w:trPr>
          <w:jc w:val="center"/>
          <w:trHeight w:val="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pStyle w:val="125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018" w:type="dxa"/>
            <w:vAlign w:val="center"/>
            <w:textDirection w:val="lrTb"/>
            <w:noWrap w:val="false"/>
          </w:tcPr>
          <w:p>
            <w:pPr>
              <w:pStyle w:val="125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智能体</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pStyle w:val="125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w:t>
            </w:r>
            <w:r/>
          </w:p>
        </w:tc>
      </w:tr>
      <w:tr>
        <w:trPr>
          <w:jc w:val="center"/>
          <w:trHeight w:val="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pStyle w:val="125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5018" w:type="dxa"/>
            <w:vAlign w:val="center"/>
            <w:textDirection w:val="lrTb"/>
            <w:noWrap w:val="false"/>
          </w:tcPr>
          <w:p>
            <w:pPr>
              <w:pStyle w:val="125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校本数字教材平台</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pStyle w:val="125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w:t>
            </w:r>
            <w:r/>
          </w:p>
        </w:tc>
      </w:tr>
      <w:tr>
        <w:trPr>
          <w:jc w:val="center"/>
          <w:trHeight w:val="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pStyle w:val="125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5018" w:type="dxa"/>
            <w:vAlign w:val="center"/>
            <w:textDirection w:val="lrTb"/>
            <w:noWrap w:val="false"/>
          </w:tcPr>
          <w:p>
            <w:pPr>
              <w:pStyle w:val="125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虚拟教研室平台</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pStyle w:val="125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w:t>
            </w:r>
            <w:r/>
          </w:p>
        </w:tc>
      </w:tr>
      <w:tr>
        <w:trPr>
          <w:jc w:val="center"/>
          <w:trHeight w:val="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pStyle w:val="125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5018" w:type="dxa"/>
            <w:vAlign w:val="center"/>
            <w:textDirection w:val="lrTb"/>
            <w:noWrap w:val="false"/>
          </w:tcPr>
          <w:p>
            <w:pPr>
              <w:pStyle w:val="125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校级竞赛管理系统</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pStyle w:val="125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w:t>
            </w:r>
            <w:r/>
          </w:p>
        </w:tc>
      </w:tr>
      <w:tr>
        <w:trPr>
          <w:jc w:val="center"/>
          <w:trHeight w:val="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pStyle w:val="125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5018" w:type="dxa"/>
            <w:vAlign w:val="center"/>
            <w:textDirection w:val="lrTb"/>
            <w:noWrap w:val="false"/>
          </w:tcPr>
          <w:p>
            <w:pPr>
              <w:pStyle w:val="125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教师教学能力提升课程资源</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pStyle w:val="125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w:t>
            </w:r>
            <w:r/>
          </w:p>
        </w:tc>
      </w:tr>
      <w:tr>
        <w:trPr>
          <w:jc w:val="center"/>
          <w:trHeight w:val="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pStyle w:val="125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5018" w:type="dxa"/>
            <w:vAlign w:val="center"/>
            <w:textDirection w:val="lrTb"/>
            <w:noWrap w:val="false"/>
          </w:tcPr>
          <w:p>
            <w:pPr>
              <w:pStyle w:val="125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一体化教学门户</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pStyle w:val="125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w:t>
            </w:r>
            <w:r/>
          </w:p>
        </w:tc>
      </w:tr>
    </w:tbl>
    <w:p>
      <w:pPr>
        <w:pStyle w:val="1106"/>
        <w:contextualSpacing/>
        <w:ind w:left="0" w:firstLine="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二、商务要求</w:t>
      </w:r>
      <w:r/>
    </w:p>
    <w:p>
      <w:pPr>
        <w:contextualSpacing/>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合同履行期限</w:t>
      </w:r>
      <w:r/>
    </w:p>
    <w:p>
      <w:pPr>
        <w:contextualSpacing/>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合同签订三年，合同一年一签，通过采购人考核后方可续签下一年度合同。</w:t>
      </w:r>
      <w:r/>
    </w:p>
    <w:p>
      <w:pPr>
        <w:contextualSpacing/>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2.交付期限、实施地点</w:t>
      </w:r>
      <w:r/>
    </w:p>
    <w:p>
      <w:pPr>
        <w:contextualSpacing/>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交付期限:合同签订生效后20个工作日内实施完成并交付使用。</w:t>
      </w:r>
      <w:r/>
    </w:p>
    <w:p>
      <w:pPr>
        <w:contextualSpacing/>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实施地点:采购人指定地点</w:t>
      </w:r>
      <w:r/>
    </w:p>
    <w:p>
      <w:pPr>
        <w:contextualSpacing/>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3.结算及付款方式</w:t>
      </w:r>
      <w:r/>
    </w:p>
    <w:p>
      <w:pPr>
        <w:ind w:firstLine="482"/>
        <w:keepLines w:val="0"/>
        <w:keepNext w:val="0"/>
        <w:pageBreakBefore w:val="0"/>
        <w:spacing w:line="360" w:lineRule="auto"/>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rPr>
        <w:t xml:space="preserve">合同签订后，</w:t>
      </w:r>
      <w:r>
        <w:rPr>
          <w:rFonts w:hint="eastAsia" w:ascii="宋体" w:hAnsi="宋体" w:eastAsia="宋体" w:cs="宋体"/>
          <w:color w:val="auto"/>
          <w:spacing w:val="2"/>
          <w:sz w:val="24"/>
          <w:highlight w:val="none"/>
          <w:lang w:eastAsia="zh-CN"/>
        </w:rPr>
        <w:t xml:space="preserve">中标</w:t>
      </w:r>
      <w:r>
        <w:rPr>
          <w:rFonts w:hint="eastAsia" w:ascii="宋体" w:hAnsi="宋体" w:eastAsia="宋体" w:cs="宋体"/>
          <w:color w:val="auto"/>
          <w:spacing w:val="2"/>
          <w:sz w:val="24"/>
          <w:highlight w:val="none"/>
        </w:rPr>
        <w:t xml:space="preserve">单位按项目要求实施完毕，经采购人验收并签署“平台开通实施验收表”后，支付第一年平台服务费用；2026年下半年对第一年售后服务按照“年度服务考核表”进行考核，考核合格后，支付第二年平台服务费用；2027年下半年对第二年售后服务按照“年度服务考核表”进行考核，考核合格后，支付95%的第三年平台服务费用；剩余5%的第三年平台服务费于服务期满后7个工作日内支付完毕。如考核不合格，采购人有权无条件终止合同。</w:t>
      </w:r>
      <w:r/>
    </w:p>
    <w:p>
      <w:pPr>
        <w:ind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highlight w:val="none"/>
        </w:rPr>
        <w:t xml:space="preserve">履约保证金</w:t>
      </w:r>
      <w:r/>
    </w:p>
    <w:p>
      <w:pPr>
        <w:ind w:left="0"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为保障合同的有效履行，首次签订合同前，</w:t>
      </w:r>
      <w:r>
        <w:rPr>
          <w:rFonts w:hint="eastAsia" w:ascii="宋体" w:hAnsi="宋体" w:eastAsia="宋体" w:cs="宋体"/>
          <w:color w:val="auto"/>
          <w:sz w:val="24"/>
          <w:highlight w:val="none"/>
          <w:lang w:eastAsia="zh-CN"/>
        </w:rPr>
        <w:t xml:space="preserve">中标</w:t>
      </w:r>
      <w:r>
        <w:rPr>
          <w:rFonts w:hint="eastAsia" w:ascii="宋体" w:hAnsi="宋体" w:eastAsia="宋体" w:cs="宋体"/>
          <w:color w:val="auto"/>
          <w:sz w:val="24"/>
          <w:highlight w:val="none"/>
        </w:rPr>
        <w:t xml:space="preserve">单位应先缴纳每年合同额的5%的履约保证金，由采购人自行收取，承诺的质保期</w:t>
      </w:r>
      <w:r>
        <w:rPr>
          <w:rFonts w:hint="eastAsia" w:ascii="宋体" w:hAnsi="宋体" w:eastAsia="宋体" w:cs="宋体"/>
          <w:color w:val="auto"/>
          <w:sz w:val="24"/>
          <w:highlight w:val="none"/>
          <w:lang w:eastAsia="zh-CN"/>
        </w:rPr>
        <w:t xml:space="preserve">（服务期）</w:t>
      </w:r>
      <w:r>
        <w:rPr>
          <w:rFonts w:hint="eastAsia" w:ascii="宋体" w:hAnsi="宋体" w:eastAsia="宋体" w:cs="宋体"/>
          <w:color w:val="auto"/>
          <w:sz w:val="24"/>
          <w:highlight w:val="none"/>
        </w:rPr>
        <w:t xml:space="preserve">满后15个工作日内退还履约保证金（无息）。</w:t>
      </w:r>
      <w:r/>
    </w:p>
    <w:p>
      <w:pPr>
        <w:ind w:left="0" w:firstLine="482"/>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szCs w:val="24"/>
          <w:highlight w:val="none"/>
        </w:rPr>
        <w:t xml:space="preserve">报价要求</w:t>
      </w:r>
      <w:r/>
    </w:p>
    <w:p>
      <w:pPr>
        <w:pStyle w:val="1106"/>
        <w:ind w:firstLine="489"/>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zh-CN"/>
        </w:rPr>
        <w:t xml:space="preserve">本项目采用每年固定总价，每年报价不得超过每年的最高现价，否则按无效投标处理。</w:t>
      </w:r>
      <w:r>
        <w:rPr>
          <w:rFonts w:hint="eastAsia" w:ascii="宋体" w:hAnsi="宋体" w:eastAsia="宋体" w:cs="宋体"/>
          <w:bCs/>
          <w:color w:val="auto"/>
          <w:sz w:val="24"/>
          <w:szCs w:val="24"/>
          <w:highlight w:val="none"/>
          <w:lang w:val="zh-CN"/>
        </w:rPr>
        <w:t xml:space="preserve">投标报价应包括</w:t>
      </w:r>
      <w:r>
        <w:rPr>
          <w:rFonts w:hint="eastAsia" w:ascii="宋体" w:hAnsi="宋体" w:eastAsia="宋体" w:cs="宋体"/>
          <w:bCs/>
          <w:color w:val="auto"/>
          <w:sz w:val="24"/>
          <w:szCs w:val="24"/>
          <w:highlight w:val="none"/>
          <w:lang w:val="en-US" w:eastAsia="zh-CN"/>
        </w:rPr>
        <w:t xml:space="preserve">措施</w:t>
      </w:r>
      <w:r>
        <w:rPr>
          <w:rFonts w:hint="eastAsia" w:ascii="宋体" w:hAnsi="宋体" w:eastAsia="宋体" w:cs="宋体"/>
          <w:bCs/>
          <w:color w:val="auto"/>
          <w:sz w:val="24"/>
          <w:szCs w:val="24"/>
          <w:highlight w:val="none"/>
          <w:lang w:val="zh-CN"/>
        </w:rPr>
        <w:t xml:space="preserve">文件所确定的招标范围相应产品的设计、</w:t>
      </w:r>
      <w:r>
        <w:rPr>
          <w:rFonts w:hint="eastAsia" w:ascii="宋体" w:hAnsi="宋体" w:eastAsia="宋体" w:cs="宋体"/>
          <w:bCs/>
          <w:color w:val="auto"/>
          <w:sz w:val="24"/>
          <w:szCs w:val="24"/>
          <w:highlight w:val="none"/>
          <w:lang w:val="en-US" w:eastAsia="zh-CN"/>
        </w:rPr>
        <w:t xml:space="preserve">安装、调试、劳务、餐旅、交通</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bCs/>
          <w:color w:val="auto"/>
          <w:sz w:val="24"/>
          <w:szCs w:val="24"/>
          <w:highlight w:val="none"/>
          <w:lang w:val="en-US" w:eastAsia="zh-CN"/>
        </w:rPr>
        <w:t xml:space="preserve">培训、验收、保险</w:t>
      </w:r>
      <w:r>
        <w:rPr>
          <w:rFonts w:hint="eastAsia" w:ascii="宋体" w:hAnsi="宋体" w:eastAsia="宋体" w:cs="宋体"/>
          <w:bCs/>
          <w:color w:val="auto"/>
          <w:sz w:val="24"/>
          <w:szCs w:val="24"/>
          <w:highlight w:val="none"/>
          <w:lang w:val="zh-CN"/>
        </w:rPr>
        <w:t xml:space="preserve">、伴随服务/售后服务费用、技术资料、利润、风险、税金及政策性文件规定等各项应有费用，以及为完成</w:t>
      </w:r>
      <w:r>
        <w:rPr>
          <w:rFonts w:hint="eastAsia" w:ascii="宋体" w:hAnsi="宋体" w:eastAsia="宋体" w:cs="宋体"/>
          <w:bCs/>
          <w:color w:val="auto"/>
          <w:sz w:val="24"/>
          <w:szCs w:val="24"/>
          <w:highlight w:val="none"/>
          <w:lang w:val="en-US" w:eastAsia="zh-CN"/>
        </w:rPr>
        <w:t xml:space="preserve">本</w:t>
      </w:r>
      <w:r>
        <w:rPr>
          <w:rFonts w:hint="eastAsia" w:ascii="宋体" w:hAnsi="宋体" w:eastAsia="宋体" w:cs="宋体"/>
          <w:bCs/>
          <w:color w:val="auto"/>
          <w:sz w:val="24"/>
          <w:szCs w:val="24"/>
          <w:highlight w:val="none"/>
          <w:lang w:val="zh-CN"/>
        </w:rPr>
        <w:t xml:space="preserve">项目所涉及到的一切相关费用。</w:t>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技术</w:t>
      </w:r>
      <w:r>
        <w:rPr>
          <w:rFonts w:hint="eastAsia" w:ascii="宋体" w:hAnsi="宋体" w:eastAsia="宋体" w:cs="宋体"/>
          <w:b/>
          <w:color w:val="auto"/>
          <w:sz w:val="24"/>
          <w:szCs w:val="24"/>
          <w:highlight w:val="none"/>
          <w:lang w:val="en-US" w:eastAsia="zh-CN"/>
        </w:rPr>
        <w:t xml:space="preserve">参数</w:t>
      </w:r>
      <w:r>
        <w:rPr>
          <w:rFonts w:hint="eastAsia" w:ascii="宋体" w:hAnsi="宋体" w:eastAsia="宋体" w:cs="宋体"/>
          <w:b/>
          <w:color w:val="auto"/>
          <w:sz w:val="24"/>
          <w:szCs w:val="24"/>
          <w:highlight w:val="none"/>
          <w:lang w:eastAsia="zh-CN"/>
        </w:rPr>
        <w:t xml:space="preserve">与服务要求</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下面的各项要求与参数</w:t>
      </w:r>
      <w:r>
        <w:rPr>
          <w:rFonts w:hint="eastAsia" w:ascii="宋体" w:hAnsi="宋体" w:eastAsia="宋体" w:cs="宋体"/>
          <w:b/>
          <w:bCs/>
          <w:color w:val="auto"/>
          <w:sz w:val="24"/>
          <w:szCs w:val="24"/>
          <w:highlight w:val="none"/>
        </w:rPr>
        <w:t xml:space="preserve">须全部</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，标“★”项为</w:t>
      </w:r>
      <w:r>
        <w:rPr>
          <w:rFonts w:hint="eastAsia" w:ascii="宋体" w:hAnsi="宋体" w:eastAsia="宋体" w:cs="宋体"/>
          <w:b/>
          <w:bCs/>
          <w:color w:val="auto"/>
          <w:sz w:val="24"/>
          <w:szCs w:val="24"/>
          <w:highlight w:val="none"/>
          <w:lang w:val="en-US" w:eastAsia="zh-CN"/>
        </w:rPr>
        <w:t xml:space="preserve">关键性</w:t>
      </w:r>
      <w:r>
        <w:rPr>
          <w:rFonts w:hint="eastAsia" w:ascii="宋体" w:hAnsi="宋体" w:eastAsia="宋体" w:cs="宋体"/>
          <w:b/>
          <w:bCs/>
          <w:color w:val="auto"/>
          <w:sz w:val="24"/>
          <w:szCs w:val="24"/>
          <w:highlight w:val="none"/>
        </w:rPr>
        <w:t xml:space="preserve">响应要求，不满足则作无效</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处理；标“▲”项为重要参数，不满足作为负偏离扣相应分值；标“■”为演示参数，需要按要求提供演示视频。</w:t>
      </w:r>
      <w:r/>
    </w:p>
    <w:p>
      <w:pPr>
        <w:ind w:left="0"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中标单位</w:t>
      </w:r>
      <w:r>
        <w:rPr>
          <w:rFonts w:hint="eastAsia" w:ascii="宋体" w:hAnsi="宋体" w:eastAsia="宋体" w:cs="宋体"/>
          <w:b/>
          <w:bCs/>
          <w:color w:val="auto"/>
          <w:sz w:val="24"/>
          <w:szCs w:val="24"/>
          <w:highlight w:val="none"/>
        </w:rPr>
        <w:t xml:space="preserve">签订合同前，须现场演示</w:t>
      </w:r>
      <w:r>
        <w:rPr>
          <w:rFonts w:hint="eastAsia" w:ascii="宋体" w:hAnsi="宋体" w:eastAsia="宋体" w:cs="宋体"/>
          <w:b/>
          <w:bCs/>
          <w:color w:val="auto"/>
          <w:sz w:val="24"/>
          <w:szCs w:val="24"/>
          <w:highlight w:val="none"/>
          <w:lang w:val="en-US" w:eastAsia="zh-CN"/>
        </w:rPr>
        <w:t xml:space="preserve">中标</w:t>
      </w:r>
      <w:r>
        <w:rPr>
          <w:rFonts w:hint="eastAsia" w:ascii="宋体" w:hAnsi="宋体" w:eastAsia="宋体" w:cs="宋体"/>
          <w:b/>
          <w:bCs/>
          <w:color w:val="auto"/>
          <w:sz w:val="24"/>
          <w:szCs w:val="24"/>
          <w:highlight w:val="none"/>
        </w:rPr>
        <w:t xml:space="preserve">产品，若现场演示与实际投标产品不符，采购人有权拒签合同，并依据评标结果排名顺序，从高到低递补</w:t>
      </w:r>
      <w:r>
        <w:rPr>
          <w:rFonts w:hint="eastAsia" w:ascii="宋体" w:hAnsi="宋体" w:eastAsia="宋体" w:cs="宋体"/>
          <w:b/>
          <w:bCs/>
          <w:color w:val="auto"/>
          <w:sz w:val="24"/>
          <w:szCs w:val="24"/>
          <w:highlight w:val="none"/>
          <w:lang w:val="en-US" w:eastAsia="zh-CN"/>
        </w:rPr>
        <w:t xml:space="preserve">中标单位</w:t>
      </w:r>
      <w:r>
        <w:rPr>
          <w:rFonts w:hint="eastAsia" w:ascii="宋体" w:hAnsi="宋体" w:eastAsia="宋体" w:cs="宋体"/>
          <w:b/>
          <w:bCs/>
          <w:color w:val="auto"/>
          <w:sz w:val="24"/>
          <w:szCs w:val="24"/>
          <w:highlight w:val="none"/>
        </w:rPr>
        <w:t xml:space="preserve">，同时</w:t>
      </w:r>
      <w:r>
        <w:rPr>
          <w:rFonts w:hint="eastAsia" w:ascii="宋体" w:hAnsi="宋体" w:eastAsia="宋体" w:cs="宋体"/>
          <w:b/>
          <w:bCs/>
          <w:color w:val="auto"/>
          <w:sz w:val="24"/>
          <w:szCs w:val="24"/>
          <w:highlight w:val="none"/>
          <w:lang w:val="en-US" w:eastAsia="zh-CN"/>
        </w:rPr>
        <w:t xml:space="preserve">采购人</w:t>
      </w:r>
      <w:r>
        <w:rPr>
          <w:rFonts w:hint="eastAsia" w:ascii="宋体" w:hAnsi="宋体" w:eastAsia="宋体" w:cs="宋体"/>
          <w:b/>
          <w:bCs/>
          <w:color w:val="auto"/>
          <w:sz w:val="24"/>
          <w:szCs w:val="24"/>
          <w:highlight w:val="none"/>
        </w:rPr>
        <w:t xml:space="preserve">保留追究原</w:t>
      </w:r>
      <w:r>
        <w:rPr>
          <w:rFonts w:hint="eastAsia" w:ascii="宋体" w:hAnsi="宋体" w:eastAsia="宋体" w:cs="宋体"/>
          <w:b/>
          <w:bCs/>
          <w:color w:val="auto"/>
          <w:sz w:val="24"/>
          <w:szCs w:val="24"/>
          <w:highlight w:val="none"/>
          <w:lang w:val="en-US" w:eastAsia="zh-CN"/>
        </w:rPr>
        <w:t xml:space="preserve">中标单位</w:t>
      </w:r>
      <w:r>
        <w:rPr>
          <w:rFonts w:hint="eastAsia" w:ascii="宋体" w:hAnsi="宋体" w:eastAsia="宋体" w:cs="宋体"/>
          <w:b/>
          <w:bCs/>
          <w:color w:val="auto"/>
          <w:sz w:val="24"/>
          <w:szCs w:val="24"/>
          <w:highlight w:val="none"/>
        </w:rPr>
        <w:t xml:space="preserve">虚假投标的相关责任。</w:t>
      </w:r>
      <w:r/>
    </w:p>
    <w:p>
      <w:pPr>
        <w:pStyle w:val="981"/>
        <w:numPr>
          <w:ilvl w:val="0"/>
          <w:numId w:val="0"/>
        </w:numPr>
        <w:ind w:lef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系统总体要求</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采用B/S结构，基于J2EE架构，页面采用Web2.0 AJAX开发，不需要另行安装插件就可以支持IE9及以上版本、safari、Firefox、chrome等浏览器。</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具有移动客户端，支持iOS、Android、鸿蒙操作系统。</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一体化数字基座作为基础平台，各系统模块均基于一体化数字基座之上，最终形成一体化，具有统一的PC端门户、用户个人空间、管理后台、移动端APP。</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系统设计满足大规模用户使用、支持分布式部署，应满足万人在线的性能要求。</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Web服务器集群。具有安全策略和备份机制，可根据不同的业务要求采用不同的安全措施，保证发生故障时不影响整个系统的正常运行。提供各级数据备份机制能够每天非工作时段定时备份数据库。具有相关策略对知识产权进行保护。</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数据备份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提供可靠的服务器架构方案，可实现服务器系统和数据库的优化、安全冗余、备份，可实现双机热备。</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平台支持满足</w:t>
      </w:r>
      <w:r>
        <w:rPr>
          <w:rFonts w:hint="eastAsia" w:ascii="宋体" w:hAnsi="宋体" w:eastAsia="宋体" w:cs="宋体"/>
          <w:color w:val="auto"/>
          <w:sz w:val="24"/>
          <w:szCs w:val="24"/>
          <w:highlight w:val="none"/>
          <w:lang w:val="zh-CN"/>
        </w:rPr>
        <w:t xml:space="preserve">学生、教师、管理员</w:t>
      </w:r>
      <w:r>
        <w:rPr>
          <w:rFonts w:hint="eastAsia" w:ascii="宋体" w:hAnsi="宋体" w:eastAsia="宋体" w:cs="宋体"/>
          <w:color w:val="auto"/>
          <w:sz w:val="24"/>
          <w:szCs w:val="24"/>
          <w:highlight w:val="none"/>
        </w:rPr>
        <w:t xml:space="preserve">角色</w:t>
      </w:r>
      <w:r>
        <w:rPr>
          <w:rFonts w:hint="eastAsia" w:ascii="宋体" w:hAnsi="宋体" w:eastAsia="宋体" w:cs="宋体"/>
          <w:color w:val="auto"/>
          <w:sz w:val="24"/>
          <w:szCs w:val="24"/>
          <w:highlight w:val="none"/>
          <w:lang w:val="zh-CN"/>
        </w:rPr>
        <w:t xml:space="preserve">下载同一个移动端APP完成教、学、管。</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部署方式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本系统采用云端部署方式。</w:t>
      </w:r>
      <w:r/>
    </w:p>
    <w:p>
      <w:pPr>
        <w:ind w:left="0"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★合同到期后</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应确保所有已上传资源及应用数据的持续保留，</w:t>
      </w:r>
      <w:r>
        <w:rPr>
          <w:rFonts w:hint="eastAsia" w:ascii="宋体" w:hAnsi="宋体" w:eastAsia="宋体" w:cs="宋体"/>
          <w:b/>
          <w:bCs/>
          <w:color w:val="auto"/>
          <w:sz w:val="24"/>
          <w:szCs w:val="24"/>
          <w:highlight w:val="none"/>
          <w:lang w:val="en-US" w:eastAsia="zh-CN"/>
        </w:rPr>
        <w:t xml:space="preserve">但</w:t>
      </w:r>
      <w:r>
        <w:rPr>
          <w:rFonts w:hint="eastAsia" w:ascii="宋体" w:hAnsi="宋体" w:eastAsia="宋体" w:cs="宋体"/>
          <w:b/>
          <w:bCs/>
          <w:color w:val="auto"/>
          <w:sz w:val="24"/>
          <w:szCs w:val="24"/>
          <w:highlight w:val="none"/>
        </w:rPr>
        <w:t xml:space="preserve">不</w:t>
      </w:r>
      <w:r>
        <w:rPr>
          <w:rFonts w:hint="eastAsia" w:ascii="宋体" w:hAnsi="宋体" w:eastAsia="宋体" w:cs="宋体"/>
          <w:b/>
          <w:bCs/>
          <w:color w:val="auto"/>
          <w:sz w:val="24"/>
          <w:szCs w:val="24"/>
          <w:highlight w:val="none"/>
          <w:lang w:val="en-US" w:eastAsia="zh-CN"/>
        </w:rPr>
        <w:t xml:space="preserve">包括</w:t>
      </w:r>
      <w:r>
        <w:rPr>
          <w:rFonts w:hint="eastAsia" w:ascii="宋体" w:hAnsi="宋体" w:eastAsia="宋体" w:cs="宋体"/>
          <w:b/>
          <w:bCs/>
          <w:color w:val="auto"/>
          <w:sz w:val="24"/>
          <w:szCs w:val="24"/>
          <w:highlight w:val="none"/>
        </w:rPr>
        <w:t xml:space="preserve">新建课程、新建班级、新增用户及平台技术与服务支持</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须就此</w:t>
      </w:r>
      <w:r>
        <w:rPr>
          <w:rFonts w:hint="eastAsia" w:ascii="宋体" w:hAnsi="宋体" w:eastAsia="宋体" w:cs="宋体"/>
          <w:b/>
          <w:bCs/>
          <w:color w:val="auto"/>
          <w:sz w:val="24"/>
          <w:szCs w:val="24"/>
          <w:highlight w:val="none"/>
          <w:lang w:val="en-US" w:eastAsia="zh-CN"/>
        </w:rPr>
        <w:t xml:space="preserve">提供</w:t>
      </w:r>
      <w:r>
        <w:rPr>
          <w:rFonts w:hint="eastAsia" w:ascii="宋体" w:hAnsi="宋体" w:eastAsia="宋体" w:cs="宋体"/>
          <w:b/>
          <w:bCs/>
          <w:color w:val="auto"/>
          <w:sz w:val="24"/>
          <w:szCs w:val="24"/>
          <w:highlight w:val="none"/>
        </w:rPr>
        <w:t xml:space="preserve">加盖</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公章的</w:t>
      </w:r>
      <w:r>
        <w:rPr>
          <w:rFonts w:hint="eastAsia" w:ascii="宋体" w:hAnsi="宋体" w:eastAsia="宋体" w:cs="宋体"/>
          <w:b/>
          <w:bCs/>
          <w:color w:val="auto"/>
          <w:sz w:val="24"/>
          <w:szCs w:val="24"/>
          <w:highlight w:val="none"/>
          <w:lang w:eastAsia="zh-CN"/>
        </w:rPr>
        <w:t xml:space="preserve">承诺函（格式自拟）</w:t>
      </w:r>
      <w:r>
        <w:rPr>
          <w:rFonts w:hint="eastAsia" w:ascii="宋体" w:hAnsi="宋体" w:eastAsia="宋体" w:cs="宋体"/>
          <w:b/>
          <w:bCs/>
          <w:color w:val="auto"/>
          <w:sz w:val="24"/>
          <w:szCs w:val="24"/>
          <w:highlight w:val="none"/>
        </w:rPr>
        <w:t xml:space="preserve">。</w:t>
      </w:r>
      <w:r/>
    </w:p>
    <w:p>
      <w:pPr>
        <w:pStyle w:val="981"/>
        <w:numPr>
          <w:ilvl w:val="0"/>
          <w:numId w:val="0"/>
        </w:numPr>
        <w:ind w:lef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（二）一体化数字基座服务需求</w:t>
      </w:r>
      <w:r/>
    </w:p>
    <w:p>
      <w:pPr>
        <w:ind w:left="0" w:firstLine="482"/>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1.用户管理</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（1）支持增、删、查、改人员信息，支持批量添加、修改人员信息。</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（2）支持自定义人员角色、部门；支持添加人员进入多部门以及给用户添加多角色。</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（3）支持单位根据自身需求添加角色。</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（4）每个角色支持单独管理角色对应的用户，单位自行添加的角色支持删除。</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（5）支持针对不同场景，创建多套组织架构。</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（6）支持设置单位外用户加入单位的验证方式。</w:t>
      </w:r>
      <w:r/>
    </w:p>
    <w:p>
      <w:pPr>
        <w:ind w:left="0" w:firstLine="482"/>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2.应用管理</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（1）支持学校管理员自主从应用中心添加单位应用，并为应用设置应用管理员。</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（2）支持指定应用所属分类，并对分类进行编辑、删除、上/下移动操作；支持对应用进行跨分类拖拽排序。</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（3）支持对应用及分类的调整，实时同步到移动端和pc端个人空间。</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（4）可以针对不同角色指定不同应用使用、管理权限。</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（5）支持通过url的方式添加自建应用。</w:t>
      </w:r>
      <w:r/>
    </w:p>
    <w:p>
      <w:pPr>
        <w:ind w:left="0" w:firstLine="482"/>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3.终端管理</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（1）移动端</w:t>
      </w:r>
      <w:r/>
    </w:p>
    <w:p>
      <w:pPr>
        <w:pStyle w:val="1106"/>
        <w:ind w:left="0"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①支持按角色给不同的用户配置不同的移动端页面</w:t>
      </w:r>
      <w:r>
        <w:rPr>
          <w:rFonts w:hint="eastAsia" w:ascii="宋体" w:hAnsi="宋体" w:eastAsia="宋体" w:cs="宋体"/>
          <w:color w:val="auto"/>
          <w:sz w:val="24"/>
          <w:szCs w:val="24"/>
          <w:highlight w:val="none"/>
          <w:lang w:eastAsia="zh-CN"/>
        </w:rPr>
        <w:t xml:space="preserve">；</w:t>
      </w:r>
      <w:r/>
    </w:p>
    <w:p>
      <w:pPr>
        <w:pStyle w:val="1106"/>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②支持编辑每个移动端页面的显示名称、邀请码、是否允许通过输入邀请码加单位。</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（2）个人空间</w:t>
      </w:r>
      <w:r/>
    </w:p>
    <w:p>
      <w:pPr>
        <w:pStyle w:val="1106"/>
        <w:ind w:left="0"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①支持按角色给不同用户配置不同的个人空间页面</w:t>
      </w:r>
      <w:r>
        <w:rPr>
          <w:rFonts w:hint="eastAsia" w:ascii="宋体" w:hAnsi="宋体" w:eastAsia="宋体" w:cs="宋体"/>
          <w:color w:val="auto"/>
          <w:sz w:val="24"/>
          <w:szCs w:val="24"/>
          <w:highlight w:val="none"/>
          <w:lang w:eastAsia="zh-CN"/>
        </w:rPr>
        <w:t xml:space="preserve">；</w:t>
      </w:r>
      <w:r/>
    </w:p>
    <w:p>
      <w:pPr>
        <w:pStyle w:val="1106"/>
        <w:ind w:left="0"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②支持配置空间头部底色、上传单位logo图片；支持配置空间头部宽度</w:t>
      </w:r>
      <w:r>
        <w:rPr>
          <w:rFonts w:hint="eastAsia" w:ascii="宋体" w:hAnsi="宋体" w:eastAsia="宋体" w:cs="宋体"/>
          <w:color w:val="auto"/>
          <w:sz w:val="24"/>
          <w:szCs w:val="24"/>
          <w:highlight w:val="none"/>
          <w:lang w:eastAsia="zh-CN"/>
        </w:rPr>
        <w:t xml:space="preserve">；</w:t>
      </w:r>
      <w:r/>
    </w:p>
    <w:p>
      <w:pPr>
        <w:pStyle w:val="1106"/>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③支持自定义个人空间左侧菜单。平台提供系统菜单，可以根据需要选择显示或隐藏。</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（3）门户网站</w:t>
      </w:r>
      <w:r/>
    </w:p>
    <w:p>
      <w:pPr>
        <w:pStyle w:val="1106"/>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①支持一个单位创建多个网站；</w:t>
      </w:r>
      <w:r/>
    </w:p>
    <w:p>
      <w:pPr>
        <w:pStyle w:val="1106"/>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②支持随时根据需求对已建网站进行修改编辑及删除；</w:t>
      </w:r>
      <w:r/>
    </w:p>
    <w:p>
      <w:pPr>
        <w:pStyle w:val="1106"/>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③提供可视化页面设计后台，拖拽式页面布局；</w:t>
      </w:r>
      <w:r/>
    </w:p>
    <w:p>
      <w:pPr>
        <w:pStyle w:val="1106"/>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④提供多种网页模板，选择模板后可快速生新网站；</w:t>
      </w:r>
      <w:r/>
    </w:p>
    <w:p>
      <w:pPr>
        <w:pStyle w:val="1106"/>
        <w:ind w:left="0"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⑤支持自定义网站主题颜色，统一页面上的应用、图标等相关视觉元素，便捷美观</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（4）数据大屏</w:t>
      </w:r>
      <w:r/>
    </w:p>
    <w:p>
      <w:pPr>
        <w:pStyle w:val="1106"/>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①支持通过拖拉拽组件构建数据展示大屏；</w:t>
      </w:r>
      <w:r/>
    </w:p>
    <w:p>
      <w:pPr>
        <w:pStyle w:val="1106"/>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②提供多样化图表、自定义布局及模板。</w:t>
      </w:r>
      <w:r/>
    </w:p>
    <w:p>
      <w:pPr>
        <w:ind w:left="0" w:firstLine="482"/>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4.应用引擎</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（1）提供自建表单应用引擎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支持单位创建、发布、管理个性化表单。</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（2）提供自建审批应用引擎；支持单位创建、发布、管理个性化审批。</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（3）提供自建网页应用引擎，支持创建、发布、管理各类网页应用。</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（4）提供空间预约应用引擎，支持创建、发布、管理空间预约类应用。</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（5）提供自建查询应用引擎，支持创建、发布、管理查询项目。</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（6）提供自建图表应用引擎，支持单位创建、发布、查看、管理个性化图表。</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（7）提供知识挑战引擎，支持创建、发布、管理各类知识挑战。</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（8）提供资源引擎，支持创建、发布、管理各类资源展示。</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（9）提供资讯采集引擎，支持创建、发布、管理各类资讯采集。</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（10）提供自建应用包引擎。支持单位创建、发布、管理个性化应用包。</w:t>
      </w:r>
      <w:r/>
    </w:p>
    <w:p>
      <w:pPr>
        <w:ind w:left="0" w:firstLine="482"/>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5.业务系统配置</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（1）支持为单位不同角色配置不同的管理后台</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（2）支持创建多个后台模板，可以增加、删除模板，针对每一个模板可以设置不同的登录地址、不同的登录页。</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（3）不同的模板，可以指定多个角色可使用，针对不同的角色可以再次设置模板内菜单以及应用分类的使用权限。</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（4）不同的模板，可以关联不同的角色组，对应角色人员登录模板后，角色管理里只显示关联的角色组。</w:t>
      </w:r>
      <w:r/>
    </w:p>
    <w:p>
      <w:pPr>
        <w:ind w:left="0" w:firstLine="482"/>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6.运行监控</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（1）支持平台概况、应用使用统计、用户行为分析、用户行为分析、内容数据统计等。</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（2）支持用户自主添加统计页面，可以设置显示/隐藏统计页面，可以上下移动统计频道的位置。</w:t>
      </w:r>
      <w:r/>
    </w:p>
    <w:p>
      <w:pPr>
        <w:pStyle w:val="981"/>
        <w:numPr>
          <w:ilvl w:val="0"/>
          <w:numId w:val="0"/>
        </w:numPr>
        <w:ind w:lef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（三）网络教学系统功能服务需求</w:t>
      </w:r>
      <w:r/>
    </w:p>
    <w:p>
      <w:pPr>
        <w:ind w:left="0" w:firstLine="482"/>
        <w:keepLines w:val="0"/>
        <w:keepNext w:val="0"/>
        <w:pageBreakBefore w:val="0"/>
        <w:spacing w:line="360" w:lineRule="auto"/>
        <w:widowControl/>
        <w:rPr>
          <w:rFonts w:hint="eastAsia" w:ascii="宋体" w:hAnsi="宋体" w:eastAsia="宋体" w:cs="宋体"/>
          <w:b/>
          <w:color w:val="auto"/>
          <w:sz w:val="24"/>
          <w:szCs w:val="24"/>
          <w:highlight w:val="none"/>
        </w:rPr>
      </w:pPr>
      <w:r/>
      <w:bookmarkStart w:id="234" w:name="_Toc8391"/>
      <w:r>
        <w:rPr>
          <w:rFonts w:hint="eastAsia" w:ascii="宋体" w:hAnsi="宋体" w:eastAsia="宋体" w:cs="宋体"/>
          <w:b/>
          <w:color w:val="auto"/>
          <w:sz w:val="24"/>
          <w:szCs w:val="24"/>
          <w:highlight w:val="none"/>
        </w:rPr>
        <w:t xml:space="preserve">1.网络课程建设</w:t>
      </w:r>
      <w:bookmarkEnd w:id="234"/>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课程负责人可构建一门慕课或符合精品资源共享课程要求的个性化课程网站，并可在网络课程中发布通告、课程资料、任务、教学资源链接、教师简介等信息。支持原位编辑、所见即所得等功能，每个课程单元还可以设置多个标签页。</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（2）课程负责人可指派其他人作为具有同等或者小于本身课程建设管理权限的课程建设者共建同一门课程，也可为自己指定助教辅助自己进行课程建设和教学管理。并且可以对助教的权限进行设置。</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教师可通过平台上传课程所需要的教材、参考书、参考文献、视频等资源，可以无缝对接学校数字图书馆的海量图书、视频的资源一键式搜索插入，支持课程教学流程管理，可在课程学习过程中任意位置添加测验，可在单元学习完成后布置作业，可以在章节学习完成后安排考试。</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（4）课程单元内容建设支持多媒体编辑器，编辑器包含视频、文档、图片、音频、图书、公式、符号、附件、网页、动画等常用组件。</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（5）支持慕课制作和慕课教学模式，实现课程知识单元化，每个知识单元聚合丰富的富媒体教学资源，并在同一个页面中进行显示。每个课程单元还可以设置多个标签页。</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（6）支持直接将从word中将内容复制粘贴到多媒体编辑器内，并完整保留里面的文字内容。</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（7）支持rmvb、3gp、mpg、mpeg、mov、wmv、avi、mkv、mp4、flv、vob、f4v等高清和网络格式视频上传，支持多种文档格式的上传，包括DOC、PPT、PDF、EXCEL等，上传后自动转码，无需下载可以直接在线观看。</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（8）支持超大文件（2G以上）上传并可断点续传，支持资源批量上传，并可无缝调用到课程中。</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（9）支持视频中任意时间点插入测验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上传视频后，可以在任意时间点插入测试题，包含单选题、多选题和对错题，支持设置答错是否允许继续观看视频，如果答错，支持设置或看多少分钟，或者设置回看时间段；支持学生作答后查看答案。</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支持视频中任意时间点插入图片或PPT</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可以在任意时间点插入图片或PPT，同时支持对插入的内容在时间轴上随意拖动。插入的PPT可以任意拖动位置，并可以跟视频窗口进行切换。支持视频的虚拟剪辑，可以将视频文件按照课程的要求剪辑成适当长度。</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）支持在线录音功能，录完的声音可以直接在线播放。</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）支持课程使用权限管理，设置试看范围、设置学生导航栏目、复用课程等。</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）提供课程编辑的详细操作日志和学生退课日志，便于追溯问题、查找原因。</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支持使用示范教学包建课，示范教学包需整合本科、高职等院校，各学科、专业的资源，教师可以在建课时引用示范教学包中的课程资源、课堂活动示例、题库等内容，同时可以根据教师自己课程的需要进行重新组合使用。</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）▲支持导入章节内容，支持从教师自己的其他课程章节中导入，也支持从平台提供的教学资源库中导入其他课程的章节；支持选择所需章节内容。支持导出或者打印章节内容，导出支持PDF版或Word版。</w:t>
      </w:r>
      <w:r/>
    </w:p>
    <w:p>
      <w:pPr>
        <w:ind w:left="0" w:firstLine="482"/>
        <w:keepLines w:val="0"/>
        <w:keepNext w:val="0"/>
        <w:pageBreakBefore w:val="0"/>
        <w:spacing w:line="360" w:lineRule="auto"/>
        <w:widowControl/>
        <w:rPr>
          <w:rFonts w:hint="eastAsia" w:ascii="宋体" w:hAnsi="宋体" w:eastAsia="宋体" w:cs="宋体"/>
          <w:b/>
          <w:bCs/>
          <w:color w:val="auto"/>
          <w:sz w:val="24"/>
          <w:szCs w:val="24"/>
          <w:highlight w:val="none"/>
        </w:rPr>
      </w:pPr>
      <w:r/>
      <w:bookmarkStart w:id="235" w:name="_Toc4478"/>
      <w:r>
        <w:rPr>
          <w:rFonts w:hint="eastAsia" w:ascii="宋体" w:hAnsi="宋体" w:eastAsia="宋体" w:cs="宋体"/>
          <w:b/>
          <w:bCs/>
          <w:color w:val="auto"/>
          <w:sz w:val="24"/>
          <w:szCs w:val="24"/>
          <w:highlight w:val="none"/>
        </w:rPr>
        <w:t xml:space="preserve">2.学习过程控制与管理</w:t>
      </w:r>
      <w:bookmarkEnd w:id="235"/>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（1）章节内容推送控制</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教师可以针对每一个教学班对每个章节学习内容进行“开放、定时开放、闯关模式开放、关闭”等设置。</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（2）任务驱动式的进阶式学习</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支持任务点设计，教师可以将课程章节内视频、图书、章节测验等内容设置为任务点，灵活控制学生学习的情况。学生端可以看到整个课程和每个章节需要完成的任务点情况，每完成一个任务，数量会自动减一。</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（3）学习过程的监督和跟踪</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可以跟踪记录并统计基于每个学生的学习进度、作业和测试完成情况、视频观看时长、参加答疑讨论的情况等多项学习考核指标。</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人脸识别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学生在平台进行课程学习过程时，需要进行人脸识别，通过认证才可以学习课程内容。</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（4）视频播放控制</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课程的教学视频文件具有“防拖拽和防窗口切换”功能，即视频播放的时候无法进行快进播放，打开章节学习的时候不能再打开其它网页，否则视频播放停止。同时支持在章节视频中可以插入测验题，作答正确，才能继续学习。</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（5）证书发放功能</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教师可以将学生的学习成绩导出，提取成绩达标的学生ID，并为其发放证书，学生可以将证书下载并打印。</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（6）课程复习模式</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教师在开课时可以设定课程的开课时间和结课时间，并且在课程结束后，可以自动开启复习模式，在复习模式中，学生可以复习，但学习记录不记入总成绩。</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（7）笔记</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学生在学习某一个章节时，可以针对此章节做笔记。</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移动端可以记录笔记，并可以设置分享或私有，同时可以查看好友的笔记，关注好友笔记。并能实时统计阅读次数、回复笔记等。</w:t>
      </w:r>
      <w:r/>
    </w:p>
    <w:p>
      <w:pPr>
        <w:ind w:left="0" w:firstLine="482"/>
        <w:keepLines w:val="0"/>
        <w:keepNext w:val="0"/>
        <w:pageBreakBefore w:val="0"/>
        <w:spacing w:line="360" w:lineRule="auto"/>
        <w:widowControl/>
        <w:rPr>
          <w:rFonts w:hint="eastAsia" w:ascii="宋体" w:hAnsi="宋体" w:eastAsia="宋体" w:cs="宋体"/>
          <w:b/>
          <w:bCs/>
          <w:color w:val="auto"/>
          <w:sz w:val="24"/>
          <w:szCs w:val="24"/>
          <w:highlight w:val="none"/>
        </w:rPr>
      </w:pPr>
      <w:r/>
      <w:bookmarkStart w:id="236" w:name="_Toc8838"/>
      <w:r>
        <w:rPr>
          <w:rFonts w:hint="eastAsia" w:ascii="宋体" w:hAnsi="宋体" w:eastAsia="宋体" w:cs="宋体"/>
          <w:b/>
          <w:bCs/>
          <w:color w:val="auto"/>
          <w:sz w:val="24"/>
          <w:szCs w:val="24"/>
          <w:highlight w:val="none"/>
        </w:rPr>
        <w:t xml:space="preserve">3.教学资源管理</w:t>
      </w:r>
      <w:bookmarkEnd w:id="236"/>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（1）人脸识别</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A.▲考生在考试前需进行活体人脸核对，核对通过后参加考试。考生的整个答题过程进行抓拍，抓拍时将同时采集前后摄像头照片，管理员或者监考老师可以随时查看所有考生抓拍所得照片。</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B.课程学习人脸识别:学生在进入课程学习时需通过人脸识别验证是否是本人。</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C</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用户可自主撤回对生物特征数据使用的特权。</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（2）题库管理</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A.题库加密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为保障系统题库安全，题库建设者可为自己所负责的的题库设置安全口令，只有输入安全口令才能进入题库，避免因题库泄露导致考试事故的发生。</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B.题型支持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支持至少应支持单选、多选、填空、判断、简答、名词解析、论述、计算、分录、连线、排序、完形填空、阅读理解、口语、听力等常见题型，并支持题型自定义。试题设置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对试题的相关属性进行设置，如难度等级、所属知识点等情况进行设置和分类检索，题的属性除难度系数外，可自定以题目标签，最多支持六级标签。</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C.试题导入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教师建设题库时除可以手动录入外应支持模板导入功能，模板至少提供常用的word和excel两种格式。</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D.题库智能导入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题库建设教师无需刻意按照模板调整试题，系统将对word文档中的各种试题自动识别基础题型并录入题库，对于识别有误的试题可在线调整后重新识别录入，有效提高老师建设题库的工作效率。智能导入支持的题型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单选、多选、判断、填空、简答。</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E.分文件夹管理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每个题库支持按文件夹形式对题库中的试题进行分类管理。</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F.建设好的题支持移动、复制、再次编辑、删除等操作。</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G.题库提供回收站，误删题之后可以从回收站恢复。</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H.支持试题批量导出，支持多种导出格式，包括word、pdf、excel格式。</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I.支持对单个试题进行排序、编辑、移动、锁定、修改题型、修改难易度、关联知识点、一键推送云盘功能。</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J.题库支持统计试题使用次数、学生答题正确率、题目创建日期等。</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（3）试卷管理</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A.自动组卷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设置好组卷逻辑之后，可以从指定的题库中按照设置的组卷逻辑进行随机抽题组卷，每次组卷数量上限不得低于20套。</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B.手动组卷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可以手动从题库选择试题进行组卷，选择试题后如果发现题目有误，支持在线修改。</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C.试卷封存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为防止试卷泄漏，组卷完成后可将试卷进行封存保管，封存的试卷只有输入密码才能开启，有效防止泄题事故的发生。</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D.试卷编辑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对组卷完成的试卷可进行预览、编辑、复制、删除、指派试卷负责老师等工作。</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E.试卷导出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支持试卷按标准版和模板导出，按模板导出时，可以自定义模板内容，导出后按照标准的线下考试试卷进行排版，可直接打印用于线下考试。</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（4）考试管理</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A.考试时间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可以设置考试开始时间、截至时间、考试时长，最早交卷时间、最晚进入考试时间。</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B.人脸识别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考生在考试前需进行活体人脸核对，核对通过后才能参加考试。考生的整个答题过程进行抓拍，抓拍时将同时采集前后摄像头照片，管理员或者监考老师可以随时查看所有考生抓拍所得照片。</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C.切屏监控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在考生考试过程中将全程监控考生的答题界面，对考生切出页面的次数与时长进行记录，管理员或者监考老师可以随时查看所有考生切屏记录。</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支持考试中设置指定IP参加考试、可以单题限时作答。支持自动随机组卷，组多套试卷时，可设置试卷试题重复率为0、不高于20%、不高于50%等。组完卷后，支持设置试卷导出模板，可设置试卷装订线、试卷页头页尾、考试承诺书、试卷页码、打印效果（A3、A4、B4版式）等，导出试卷是可一并导出答题卡，答案解析等。</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E.题目乱序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每位考生所收到试卷的题目顺序进动打乱排列。选项乱序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对于选择题的每个选项进行打乱排列</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F.考生终端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Hans"/>
        </w:rPr>
        <w:t xml:space="preserve">支持网页端、移动端、考试客户端考试，进入考试前需进行人脸识别认证。</w:t>
      </w:r>
      <w:r>
        <w:rPr>
          <w:rFonts w:hint="eastAsia" w:ascii="宋体" w:hAnsi="宋体" w:eastAsia="宋体" w:cs="宋体"/>
          <w:color w:val="auto"/>
          <w:sz w:val="24"/>
          <w:szCs w:val="24"/>
          <w:highlight w:val="none"/>
        </w:rPr>
        <w:t xml:space="preserve">可以指定考试终端，设置为客户端考试时考生只能到学校机房进行考试，满足集中考试需求。提供安装在学校机房专门用于集中考试的机房考试客户端，当需要集中考试时，可通过安装在机房的机房考试客户端进行集中考试。客户端数据与PC端实现无缝互联，支持考生参加考试、答卷、交卷、查看分数等完整过程。设置为客户端考试时，考生只能通过考试专用客户端登录进行考试，启动后自动全屏且在唯一的考试界面下进行操作考试，而且客户端具有绑定机器的权限，每台机器，只能够用固定的客户端。支持断电保护、实时数据反馈等数据保护措施。</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G.其他设置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及格分数、允许重考次数、多次考试时分数取值方式、查看试卷权限、试卷提交查看答案权限、查看分数权限、答案防粘贴、截至时间自动交卷、填空题为客观题、填空题答案判定标准、多选题分数设置、随机抽题等设置，满足不同类型考试需求。</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（5）在线监考</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A.在线监考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监考教师需可以查看每位考生是否进入考试、进入时间、当前状态、IP地址、所在地区、人脸识别情况、切屏次数、切屏总时长等。</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B.通知提醒</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针对未及时参加考试的考生或者有异常行为的考生，监考老师可对考生发送提醒通知。</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C.强制收卷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监考老师发现有异常行为的考生可进行强制收卷。</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D.▲查看考生详情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监考老师可随时查看每位考生的考试行为记录，详情以时间轴形式呈现，也可查看考试答题情况。查看抓拍监控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将所有考生前后摄像头的抓拍监控画面展示在一个页面上，便于监考老师更加直观了解每位考生当前的作答情况。直播监控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考试过程中、监考老师可以随时调取考生的直播画面进行直播监考，进一步确认考生的真实考试情况。</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E.支持设置是否允许学生补考、及格分数的设定，并可设置是否允许学生重考。</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（6）考试阅卷</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A.客观题批阅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对于客观题系统自动批阅并计算分数，无需人工干预。</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B.主观题批阅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主观题批阅时支持打分和写批语，批语除支持文字录入之外也支持公式、符号、图片以及附件录入</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C.试卷导出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批阅完成的试卷支持一键打包下载，便于存档。</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（7）作业管理</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教师可以创建作业，形成课程作业库，可以对作业库进行管理，设置发布作业的时间及相关要求。</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A.作业可以是来源于题库、作业库或自定义，每次布置作业，自定义的题目需具有保存到题库的功能。</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B.教师可以随时查看学生作业的完成情况并对作业进行线上批阅打分。</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C.▲作业需具备生生互评的功能，设为互评的作业，学生间对作业相互打分，教师可参与最后的评估。</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D.可对作业进行随机出题。</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E.作业支持文档、附件、视频、音频等形式，同时音视频支持在线播放功能。</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F.支持填空题是否为客观题的设定。</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G.教师可随时设定作业答案是否公开、作业分数是否公开，可设定是否防止粘贴的功能。</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H.作业详细统计，可以查看某份作业单个选项的选择人数。</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I.作业支持随机出题模式。</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J.对于同一套作业，可以设置题目乱序，防止学生作弊。</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K.对于未提交作业的学生，可以进行督促，发放督促通知。</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L.支持进行作业查重，对于简答题、论述题等主观题，可进行班级内两两学生间比对查重。</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M.作业需具备指定发送给某个人的功能，实现有针对性的教学管理。</w:t>
      </w:r>
      <w:bookmarkStart w:id="237" w:name="_Toc8793"/>
      <w:r/>
      <w:r/>
    </w:p>
    <w:p>
      <w:pPr>
        <w:ind w:left="0"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4.学习统计功能</w:t>
      </w:r>
      <w:bookmarkEnd w:id="237"/>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（1）成绩统计</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对课程中的视频、作业、考试、讨论等做权重设置。可统计所有学生的各项成绩、综合成绩及排名；教师可以设置是否允许学生查看成绩，如果允许，学生端可以查看自己的各项成绩及综合排名，同时其他同学的成绩可设为保秘状态；同时，可以导入线下成绩，保证学生的成绩更加全面。</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（2）作业/考试统计分析</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A.作业统计为教师提供授课课程作业的统计分析，包括教师发布作业、学生作业情况、作业成绩等的统计分析数据。</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B.考试统计为教师提供授课课程考试的统计分析，包括教师创建试卷份数和试题数、发布考试提交数和批阅数、考试情况、考试成绩等的统计分析数据。</w:t>
      </w:r>
      <w:r/>
    </w:p>
    <w:p>
      <w:pPr>
        <w:ind w:left="0" w:firstLine="482"/>
        <w:keepLines w:val="0"/>
        <w:keepNext w:val="0"/>
        <w:pageBreakBefore w:val="0"/>
        <w:spacing w:line="360" w:lineRule="auto"/>
        <w:widowControl/>
        <w:rPr>
          <w:rFonts w:hint="eastAsia" w:ascii="宋体" w:hAnsi="宋体" w:eastAsia="宋体" w:cs="宋体"/>
          <w:b/>
          <w:bCs/>
          <w:color w:val="auto"/>
          <w:sz w:val="24"/>
          <w:szCs w:val="24"/>
          <w:highlight w:val="none"/>
        </w:rPr>
      </w:pPr>
      <w:r/>
      <w:bookmarkStart w:id="238" w:name="_Toc13519"/>
      <w:r>
        <w:rPr>
          <w:rFonts w:hint="eastAsia" w:ascii="宋体" w:hAnsi="宋体" w:eastAsia="宋体" w:cs="宋体"/>
          <w:b/>
          <w:bCs/>
          <w:color w:val="auto"/>
          <w:sz w:val="24"/>
          <w:szCs w:val="24"/>
          <w:highlight w:val="none"/>
        </w:rPr>
        <w:t xml:space="preserve">5.个人空间</w:t>
      </w:r>
      <w:bookmarkEnd w:id="238"/>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课程建设、学习过程管理、资料管理等都通过空间完成，教师空间包含所教的课，学生空间包含所学的课。</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个人空间至少包含以下APP</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bookmarkStart w:id="239" w:name="_Toc336383463"/>
      <w:r/>
      <w:bookmarkStart w:id="240" w:name="_Toc214383467"/>
      <w:r>
        <w:rPr>
          <w:rFonts w:hint="eastAsia" w:ascii="宋体" w:hAnsi="宋体" w:eastAsia="宋体" w:cs="宋体"/>
          <w:color w:val="auto"/>
          <w:sz w:val="24"/>
          <w:szCs w:val="24"/>
          <w:highlight w:val="none"/>
        </w:rPr>
        <w:t xml:space="preserve">（1）个人云盘:可以将文件上传至云盘中，支持批量上传文件，随时随地进行下载，并可以在课程建设时引用云盘的资源。支持从云盘中调取PPT直接上课投屏。</w:t>
      </w:r>
      <w:bookmarkEnd w:id="239"/>
      <w:r/>
      <w:bookmarkEnd w:id="240"/>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（2）小组:小组是就某一类话题或兴趣点（例如计算机、电影、电子产品等）跟别人交流的场所。</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（3）问卷调查</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（4）分组探究式教学</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分组探究式教学是以问题为基础、以学生为中心、教师为引导、学生自主学习的教学模式。以下功能便于开展此类教学。</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分组管理；小组文件管理；小组论坛；小组评价</w:t>
      </w:r>
      <w:r>
        <w:rPr>
          <w:rFonts w:hint="eastAsia" w:ascii="宋体" w:hAnsi="宋体" w:eastAsia="宋体" w:cs="宋体"/>
          <w:color w:val="auto"/>
          <w:sz w:val="24"/>
          <w:szCs w:val="24"/>
          <w:highlight w:val="none"/>
          <w:lang w:eastAsia="zh-CN"/>
        </w:rPr>
        <w:t xml:space="preserve">。</w:t>
      </w:r>
      <w:r/>
    </w:p>
    <w:p>
      <w:pPr>
        <w:ind w:left="0" w:firstLine="482"/>
        <w:keepLines w:val="0"/>
        <w:keepNext w:val="0"/>
        <w:pageBreakBefore w:val="0"/>
        <w:spacing w:line="360" w:lineRule="auto"/>
        <w:widowControl/>
        <w:rPr>
          <w:rFonts w:hint="eastAsia" w:ascii="宋体" w:hAnsi="宋体" w:eastAsia="宋体" w:cs="宋体"/>
          <w:b/>
          <w:bCs/>
          <w:color w:val="auto"/>
          <w:sz w:val="24"/>
          <w:szCs w:val="24"/>
          <w:highlight w:val="none"/>
        </w:rPr>
      </w:pPr>
      <w:r/>
      <w:bookmarkStart w:id="241" w:name="_Toc1934"/>
      <w:r>
        <w:rPr>
          <w:rFonts w:hint="eastAsia" w:ascii="宋体" w:hAnsi="宋体" w:eastAsia="宋体" w:cs="宋体"/>
          <w:b/>
          <w:bCs/>
          <w:color w:val="auto"/>
          <w:sz w:val="24"/>
          <w:szCs w:val="24"/>
          <w:highlight w:val="none"/>
        </w:rPr>
        <w:t xml:space="preserve">6.</w:t>
      </w:r>
      <w:r>
        <w:rPr>
          <w:rFonts w:hint="eastAsia" w:ascii="宋体" w:hAnsi="宋体" w:eastAsia="宋体" w:cs="宋体"/>
          <w:b/>
          <w:bCs/>
          <w:color w:val="auto"/>
          <w:sz w:val="24"/>
          <w:szCs w:val="24"/>
          <w:highlight w:val="none"/>
          <w:lang w:val="en-US" w:eastAsia="zh-CN"/>
        </w:rPr>
        <w:t xml:space="preserve">备课</w:t>
      </w:r>
      <w:r>
        <w:rPr>
          <w:rFonts w:hint="eastAsia" w:ascii="宋体" w:hAnsi="宋体" w:eastAsia="宋体" w:cs="宋体"/>
          <w:b/>
          <w:bCs/>
          <w:color w:val="auto"/>
          <w:sz w:val="24"/>
          <w:szCs w:val="24"/>
          <w:highlight w:val="none"/>
        </w:rPr>
        <w:t xml:space="preserve">资源库建设</w:t>
      </w:r>
      <w:bookmarkEnd w:id="241"/>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与网络教学平台无缝对接，教师在使用网络教学平台进行课程建设、备课、授课过程中随时可以搜索、引用、无缝插入备课资源库中的资源，全面辅助教师教学和学生学习。需包含以下资源</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（1）电子书。可以进行在线阅读，可以进行文字摘录。</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（2）学术视频。需要名校、名师的视频，包含清华大学、北京大学、中国人民大学、北京师范大学、复旦大学、同济大学、上海交通大学、天津大学、南开大学等名校的课程视频及讲座，可以在线进行播放。</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（3）电子书和学术视频要求必须取得著作权人的授权，没有版权问题。</w:t>
      </w:r>
      <w:r/>
    </w:p>
    <w:p>
      <w:pPr>
        <w:pStyle w:val="981"/>
        <w:numPr>
          <w:ilvl w:val="0"/>
          <w:numId w:val="0"/>
        </w:numPr>
        <w:ind w:lef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bookmarkStart w:id="242" w:name="_Toc59086141"/>
      <w:r/>
      <w:bookmarkStart w:id="243" w:name="_Toc28956"/>
      <w:r>
        <w:rPr>
          <w:rFonts w:hint="eastAsia" w:ascii="宋体" w:hAnsi="宋体" w:eastAsia="宋体" w:cs="宋体"/>
          <w:b/>
          <w:bCs/>
          <w:color w:val="auto"/>
          <w:sz w:val="24"/>
          <w:szCs w:val="24"/>
          <w:highlight w:val="none"/>
          <w:lang w:val="en-US" w:eastAsia="zh-CN"/>
        </w:rPr>
        <w:t xml:space="preserve">（四）课堂互动系统功能服务需求</w:t>
      </w:r>
      <w:bookmarkEnd w:id="242"/>
      <w:r/>
      <w:bookmarkEnd w:id="243"/>
      <w:r/>
      <w:r/>
    </w:p>
    <w:p>
      <w:pPr>
        <w:ind w:left="0" w:firstLine="482"/>
        <w:keepLines w:val="0"/>
        <w:keepNext w:val="0"/>
        <w:pageBreakBefore w:val="0"/>
        <w:spacing w:line="360" w:lineRule="auto"/>
        <w:widowControl/>
        <w:rPr>
          <w:rFonts w:hint="eastAsia" w:ascii="宋体" w:hAnsi="宋体" w:eastAsia="宋体" w:cs="宋体"/>
          <w:b/>
          <w:color w:val="auto"/>
          <w:sz w:val="24"/>
          <w:szCs w:val="24"/>
          <w:highlight w:val="none"/>
        </w:rPr>
      </w:pPr>
      <w:r/>
      <w:bookmarkStart w:id="244" w:name="_Toc20102"/>
      <w:r>
        <w:rPr>
          <w:rFonts w:hint="eastAsia" w:ascii="宋体" w:hAnsi="宋体" w:eastAsia="宋体" w:cs="宋体"/>
          <w:b/>
          <w:color w:val="auto"/>
          <w:sz w:val="24"/>
          <w:szCs w:val="24"/>
          <w:highlight w:val="none"/>
        </w:rPr>
        <w:t xml:space="preserve">1.现场教学互动功能</w:t>
      </w:r>
      <w:bookmarkEnd w:id="244"/>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不借助任何第三方投屏软件进行投屏。不仅包括自有的PPT、课程章节、笔记、专题、课堂活动等，也支持在线搜索平台提供的资料，包括期刊、学术视频、专题等，均可利用手机端一键投屏到教室大屏。投屏PPT、专题时，可以直接在手机终端使用上下翻页，激光笔、聚光灯等功能。</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（2）支持在教室电脑上安装互动软件，老师上课无需使用手机投屏，互动软件不限制安装教室数。</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教师可使用课件完整（完整的教学视频、课件和题库）的教学示范包在移动端快速建课，教学示范包可根据学校属性选择，或者搜索相关课程进行一键引用创建课程。移动端支持录制速课，可将PPT投屏演示过程和讲解，结束后音视频PPT和讲解录音可保存为线上课程资源，支持转发学生或者一键引用到课程章节中供学生反复学习观看。</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（4）可以通过账号登录移动端。可以选择通过输入自己统一身份认证账号或账号绑定的手机号和密码登录；支持手机验证码登录。</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（5）投屏过程中，教师使用主题讨论，系统根据所有学生的回答自动分析生产数个关键词语。教师备课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教师可以在移动端中的活动库中，设置移动教案。按照教学计划，教师可提前在上组织教学内容，有序安排资料推送、签到、选人、抢答、投票等教学活动，方便课堂发放并易于复用。</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（6）▲支持通过手机端投屏功能把课程相关图片、视频资源及平台自带的资源直接在教室大屏/投影机上展示。同步课堂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学生可以远程通过移动端同步参与课堂，实现双向或多向互动的同步课堂。</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（7）课堂互动功能即可在电脑上编辑ppt下的活动及发起课堂互动，也可以在手机端发起，两端同步互联。</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（8）支持找资料功能，课堂上可随时检索添加系统自带的专题、学术视频、期刊等资源，并进行投屏展示。</w:t>
      </w:r>
      <w:r/>
    </w:p>
    <w:p>
      <w:pPr>
        <w:ind w:left="0" w:firstLine="482"/>
        <w:keepLines w:val="0"/>
        <w:keepNext w:val="0"/>
        <w:pageBreakBefore w:val="0"/>
        <w:spacing w:line="360" w:lineRule="auto"/>
        <w:widowControl/>
        <w:rPr>
          <w:rFonts w:hint="eastAsia" w:ascii="宋体" w:hAnsi="宋体" w:eastAsia="宋体" w:cs="宋体"/>
          <w:b/>
          <w:bCs/>
          <w:color w:val="auto"/>
          <w:sz w:val="24"/>
          <w:szCs w:val="24"/>
          <w:highlight w:val="none"/>
        </w:rPr>
      </w:pPr>
      <w:r/>
      <w:bookmarkStart w:id="245" w:name="_Toc27066"/>
      <w:r>
        <w:rPr>
          <w:rFonts w:hint="eastAsia" w:ascii="宋体" w:hAnsi="宋体" w:eastAsia="宋体" w:cs="宋体"/>
          <w:b/>
          <w:bCs/>
          <w:color w:val="auto"/>
          <w:sz w:val="24"/>
          <w:szCs w:val="24"/>
          <w:highlight w:val="none"/>
        </w:rPr>
        <w:t xml:space="preserve">2.移动教学互动功能</w:t>
      </w:r>
      <w:bookmarkEnd w:id="245"/>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（1）具有移动客户端，支持iOS、Android、鸿蒙操作系统，用于手机、Pad等智能移动终端中，实现在线移动学习。</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（2）PC端与移动端的学习进度保持同步，学生在任何终端上，都可以实现学习记录的持续性，系统也可对任何终端的学习行为进行监控。</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（3）教师可以发布课堂签到、抢答、选人、调查问卷、随堂练习等活动。</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（4）课堂结束后，可以将所有课堂上发布的控件进行记录，生成课堂历史记录。能实时查看任一活动的详细参与情况。</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（5）可基于课程形成师生互动交流群。</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（6）教师在课前对资料进行云盘存储，课堂上可以利用云盘功能选择和自己课程相关的资料进行资料推送，推送完成后参与教学的学生和教师都可以查看资料的详细内容。</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（7）学生通过移动端作业功能可以查看作业列表，作业列表支持标示待做作业和已完成、已过期作业展示，支持查看作业答案。</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（8）教师可以通过手机在课程中发布考试试卷和查看考试分项统计结果，学生同样可以通过移动端进行在线考试和查看考试信息。</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（9）学生的课堂签到情况、课堂表现等都以积分形式形成评价，可转换为平时成绩。</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（10）使用者可以阅读电子图书、报纸、期刊、专题等资源，可以收藏到自己的账号下，并进行分类管理；可以对所有精彩的内容进行分享。</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（11）基于真实身份、课程、读书等学习行为及学生活动的社交互动，引发学习激励。</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教务通知、教师课程通知、小组通知、个人互相通知的即时消息任意组合设置，实时发送，实时接收，并可查看通知阅读状态，已读和未读名单。教师、学生都可以进行实时的移动端通知、组建小组群聊、好友验证等即时通信。可以在移动客户端选择给指定的人发送通知，并统计已读和未读名单。并与pc端无缝对接。</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（13）视频直播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支持手机端、电脑端发起视频直播，学生可以通过手机观看直播并留言。</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（14）▲个人直播管理后台可对历史直播数据进行管理，支持查看直播观看地址、下载地址，观看记录，观看记录可查看观看总人数、pc观看次数及移动端观看次数，支持数据记录导出。</w:t>
      </w:r>
      <w:r/>
    </w:p>
    <w:p>
      <w:pPr>
        <w:ind w:left="0"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平台后台管理</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可对平台上的课程、使用者、门户、过程数据等进行管理。</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（1）课程库管理</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可以查看本校使用者所建设的所有课程，并按照建课角色、学院、建课方式、课程类型等字段进行筛选。</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（2）使用者管理</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可对本单位的教师、学生、管理员等角色进行编辑，可以进行新增、冻结、编辑等操作，其中教师和学生的新增支持批量导入。</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可根据需要建立管理员角色，并为每种角色分配后台管理权限。</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（3）系统统计管理</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A.教学统计:可以查看某时间段内教师课程教学情况，支持查看某一个人的详细建课信息。</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B.学习统计:可以按院系统计学生的总数及活跃学生数，并横向对比院系各个维度的活跃的（比如任务点完成数等）；可以查看某一学生的详细学习信息。</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课程统计:可以统计平台上创建的全部网络课程的基本信息及建设情况，如课程章节数、学习课程总人数、任务点数、章节资源数、试卷数、试题数、作业数、讨论数从而对比老师的建课情况；可通过课程创建时间、教师所属院系、课程名称等关键字对课程进行检索。</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D.访问量统计:可以按照不同的时间段统计访问人次，不同终端的访问比例。</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E.简要大数据分析:提供平台各种活动的数据分析，比如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七天课程活动数、七天课程访问排行、七天院系访问排行等。使用者也可以根据各种数据做自行分析。</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（4）课程观摩</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支持具备给观摩权限的查看学校/学院老师建设课程的内容，包括资源、作业、讨论、互动等师生可见内容。</w:t>
      </w:r>
      <w:r/>
    </w:p>
    <w:p>
      <w:pPr>
        <w:pStyle w:val="981"/>
        <w:numPr>
          <w:ilvl w:val="0"/>
          <w:numId w:val="0"/>
        </w:numPr>
        <w:ind w:lef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bookmarkStart w:id="246" w:name="_Toc59086142"/>
      <w:r/>
      <w:bookmarkStart w:id="247" w:name="_Toc14519"/>
      <w:r>
        <w:rPr>
          <w:rFonts w:hint="eastAsia" w:ascii="宋体" w:hAnsi="宋体" w:eastAsia="宋体" w:cs="宋体"/>
          <w:b/>
          <w:bCs/>
          <w:color w:val="auto"/>
          <w:sz w:val="24"/>
          <w:szCs w:val="24"/>
          <w:highlight w:val="none"/>
          <w:lang w:val="en-US" w:eastAsia="zh-CN"/>
        </w:rPr>
        <w:t xml:space="preserve">（五）大数据分析系统功能服务需求</w:t>
      </w:r>
      <w:bookmarkEnd w:id="246"/>
      <w:r/>
      <w:bookmarkEnd w:id="247"/>
      <w:r/>
      <w:r/>
    </w:p>
    <w:p>
      <w:pPr>
        <w:ind w:left="0" w:firstLine="482"/>
        <w:keepLines w:val="0"/>
        <w:keepNext w:val="0"/>
        <w:pageBreakBefore w:val="0"/>
        <w:spacing w:line="360" w:lineRule="auto"/>
        <w:widowControl/>
        <w:rPr>
          <w:rFonts w:hint="eastAsia" w:ascii="宋体" w:hAnsi="宋体" w:eastAsia="宋体" w:cs="宋体"/>
          <w:b/>
          <w:bCs/>
          <w:color w:val="auto"/>
          <w:sz w:val="24"/>
          <w:szCs w:val="24"/>
          <w:highlight w:val="none"/>
        </w:rPr>
      </w:pPr>
      <w:r/>
      <w:bookmarkStart w:id="248" w:name="_Toc31010"/>
      <w:r>
        <w:rPr>
          <w:rFonts w:hint="eastAsia" w:ascii="宋体" w:hAnsi="宋体" w:eastAsia="宋体" w:cs="宋体"/>
          <w:b/>
          <w:bCs/>
          <w:color w:val="auto"/>
          <w:sz w:val="24"/>
          <w:szCs w:val="24"/>
          <w:highlight w:val="none"/>
        </w:rPr>
        <w:t xml:space="preserve">1.PC端可视化分析系统</w:t>
      </w:r>
      <w:bookmarkEnd w:id="248"/>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（1）数据统计</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可以提供综合数据、基础数据、教师教学数据、学生学习数据、出勤分析、活动日志等维度的数据。</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a）综合数据包括本校当前学期基础数据信息、教师教学与学生学习数据、师生出勤数据、资源建设数据、师生实时动态情况；</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b）基础数据包括本校当前学期网络课程的分布情况、课程建设趋势、课程建设情况、网络课程/教学班TOP10等；</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c）教师教学数据包括学习任务点完成情况及趋势分析、课堂活动发布情况及趋势分析、作业与考试发布与批阅情况</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d）学生学习数据包括当前学期本校学生课程内容学习情况、课堂活动参与情况、学生综合成绩及各种成绩排名；</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e）▲出勤分析包括当前学期学生整体出勤情况分析、今日上课班级出勤率、各院系学生出勤、各院系课程出勤情况、各年级学生出勤、学生出勤TOP榜及出勤实时动态；</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（2）课程报告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自动生成学校教学运行的日报、周报、月报及学期报数据。</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（3）数据档案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可提供课程档案、学生档案、教师档案几种数据。</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a）课程档案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记录学校网络课程各项指标的详细情况；</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b）学生档案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记录学生所学过的网络课程及成绩详情，出勤情况统计；</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c）教师档案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记录教师所教各项指标的详细情况；</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（4）AI数据分析</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a)■AI 数据问答功能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支持通过 AI 智能体自定义查询，获取指定时间范围、学校院系范围的数据统计结果；可查询范围基本覆盖学校的课程运行、师生活动、考勤签到等日常教学场景。AI 生成结果支持图文、表格等多种展示效果，支持对教学运行数据进行描述和分析，回复内容可导出为 pdf 或图片。</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b）■AI 数据报告功能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支持通过 AI 智能体开展主题分析并智能生成分析报告。支持用户自定义报告分析主题，由 AI 智能构建报告大纲；大纲经用户调整确认后，生成专业分析报告。分析报告内容支持文本、统计图、数据表形式展示，报告结果可导出为 pdf 或图片。生成的数据报告支持保存为模板，可重复使用。</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c）■AI 数据报表功能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用户通过智能体对话或自建数据表模板方式，实现数据智能导出。数据模板支持自定义时间范围、院系范围和导出数据内容，支持用户调整数据名称并设置排序字段。导出的报表支持保存为模板，可重复使用。</w:t>
      </w:r>
      <w:r/>
    </w:p>
    <w:p>
      <w:pPr>
        <w:ind w:left="0" w:firstLine="482"/>
        <w:keepLines w:val="0"/>
        <w:keepNext w:val="0"/>
        <w:pageBreakBefore w:val="0"/>
        <w:spacing w:line="360" w:lineRule="auto"/>
        <w:widowControl/>
        <w:rPr>
          <w:rFonts w:hint="eastAsia" w:ascii="宋体" w:hAnsi="宋体" w:eastAsia="宋体" w:cs="宋体"/>
          <w:color w:val="auto"/>
          <w:sz w:val="24"/>
          <w:szCs w:val="24"/>
          <w:highlight w:val="none"/>
        </w:rPr>
      </w:pPr>
      <w:r/>
      <w:bookmarkStart w:id="249" w:name="_Toc16939"/>
      <w:r>
        <w:rPr>
          <w:rFonts w:hint="eastAsia" w:ascii="宋体" w:hAnsi="宋体" w:eastAsia="宋体" w:cs="宋体"/>
          <w:b/>
          <w:bCs/>
          <w:color w:val="auto"/>
          <w:sz w:val="24"/>
          <w:szCs w:val="24"/>
          <w:highlight w:val="none"/>
        </w:rPr>
        <w:t xml:space="preserve">2.移动端监控平台</w:t>
      </w:r>
      <w:bookmarkEnd w:id="249"/>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后台进行数据的分析汇总支持多终端展示，通过移动端可查看学校大数据，包括实时课堂、日常监控、教学监控、学情分析、签到监控、资源监控情况，如教学监控包括全校教师数、今日上线教师、实时动态等，打破时间、地域限制，最终实现实时监控、移动监控。</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（1）教学监控</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包含今日教学情况，历史教学情况，包括老师上课情况，课堂活动发放情况，课堂作业布置情况，课下作业批改情况，师生讨论情况等等。 </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（2）学情分析</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从学生活跃度，课程学习情况、课堂活动参与度等情况。对学生的学习行为进行学情分析，包括今日学情监控，全校学情分析。</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（3）签到监控</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包含总体签到情况，老师上课签到，学生出勤等的签到情况。 </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（4）资源监控</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包含全校资源概况，资源使用情况，资源使用量，排名等。</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（5）日常监控</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包括对通用，考勤，资源和活跃度全方位的分析与监控。</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（6）师生档案</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涵盖教师档案及学生档案，管理者可以通过多种检索方式检索到全校的任何教师及学生，可以查看教师的教学数据，学生的学习数据。</w:t>
      </w:r>
      <w:r/>
    </w:p>
    <w:p>
      <w:pPr>
        <w:ind w:left="0" w:firstLine="482"/>
        <w:keepLines w:val="0"/>
        <w:keepNext w:val="0"/>
        <w:pageBreakBefore w:val="0"/>
        <w:spacing w:line="360" w:lineRule="auto"/>
        <w:widowControl/>
        <w:rPr>
          <w:rFonts w:hint="eastAsia" w:ascii="宋体" w:hAnsi="宋体" w:eastAsia="宋体" w:cs="宋体"/>
          <w:b/>
          <w:bCs/>
          <w:color w:val="auto"/>
          <w:sz w:val="24"/>
          <w:szCs w:val="24"/>
          <w:highlight w:val="none"/>
        </w:rPr>
      </w:pPr>
      <w:r/>
      <w:bookmarkStart w:id="250" w:name="_Toc20706"/>
      <w:r>
        <w:rPr>
          <w:rFonts w:hint="eastAsia" w:ascii="宋体" w:hAnsi="宋体" w:eastAsia="宋体" w:cs="宋体"/>
          <w:b/>
          <w:bCs/>
          <w:color w:val="auto"/>
          <w:sz w:val="24"/>
          <w:szCs w:val="24"/>
          <w:highlight w:val="none"/>
        </w:rPr>
        <w:t xml:space="preserve">3.大数据展示屏</w:t>
      </w:r>
      <w:bookmarkEnd w:id="250"/>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展示云平台运行总体情况、为学校提供数据监控工具。具体包括如下内容</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（1）整体数据概况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反映当前教师和学生的教学和学习进展情况；</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（2）课程基础数据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涵盖学校当前的基础数据信息，包括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教师、教师建课数、学生、学生学课数、网络课程数、网络教学班、各年级的人数及学习课程的数据等；</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（3）实时动态数据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实时展示课堂教学数据，包括各二级院系的课堂运行数据，课堂活动发布情况等；</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（4）师生考勤数据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动态展示今日、本周、本月教师的考勤发放及学生整体参与情况，及二级院系的课程签到情况；</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（5）师生活跃数据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学校的整体活跃度及二级学院的活跃度排行、访问终端占比及学生访问趋势等；</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（6）学校资源建设数据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统计了学校当前资源总体情况，各二级学院资源及资源类型、资源新增情况等</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（7）▲数据分析展示页面管理</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页面展示管理，支持编辑布局页面，依据展示需求进行屏幕展示布局优化，支持可进行展示信息的筛选，包括学生年级筛选、建课方式筛选（教师建课、学生建课）、教师建课情况筛选等。</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编辑数据，数据展示来源除通过大数据系统的采集，也支持编辑数据修正，提高数据展示真实效果。</w:t>
      </w:r>
      <w:r/>
    </w:p>
    <w:p>
      <w:pPr>
        <w:pStyle w:val="981"/>
        <w:numPr>
          <w:ilvl w:val="0"/>
          <w:numId w:val="0"/>
        </w:numPr>
        <w:ind w:lef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（六）AI教学服务功能需求</w:t>
      </w:r>
      <w:r/>
    </w:p>
    <w:p>
      <w:pPr>
        <w:ind w:left="0"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1.任务引擎</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(1)课程任务引擎管理</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任务引擎列表支持展示当前人创建的指定类型（任务型、课程型、业务型）任务。</w:t>
      </w:r>
      <w:r/>
    </w:p>
    <w:p>
      <w:pPr>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支持新建任务，新建任务时可自定义任务名称、任务封面、任务介绍、任务标签。新建后默认跳转到当前任务的管理页面，进行任务设计操作</w:t>
      </w:r>
      <w:r>
        <w:rPr>
          <w:rFonts w:hint="eastAsia" w:ascii="宋体" w:hAnsi="宋体" w:eastAsia="宋体" w:cs="宋体"/>
          <w:color w:val="auto"/>
          <w:sz w:val="24"/>
          <w:szCs w:val="24"/>
          <w:highlight w:val="none"/>
          <w:lang w:eastAsia="zh-CN"/>
        </w:rPr>
        <w:t xml:space="preserve">。</w:t>
      </w:r>
      <w:r/>
    </w:p>
    <w:p>
      <w:pPr>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支持删除任务，删除任务后，列表不可见，支持在已删除任务查看已删除的任务数据，支持恢复已删除的任务资源</w:t>
      </w:r>
      <w:r>
        <w:rPr>
          <w:rFonts w:hint="eastAsia" w:ascii="宋体" w:hAnsi="宋体" w:eastAsia="宋体" w:cs="宋体"/>
          <w:color w:val="auto"/>
          <w:sz w:val="24"/>
          <w:szCs w:val="24"/>
          <w:highlight w:val="none"/>
          <w:lang w:eastAsia="zh-CN"/>
        </w:rPr>
        <w:t xml:space="preserve">。</w:t>
      </w:r>
      <w:r/>
    </w:p>
    <w:p>
      <w:pPr>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支持AI生成任务，简化教师创建任务的操作流程；支持按章节生成任务，支持教师选择当前课程下的章节，一个章节生成一个任务；支持按教案生成任务，支持教师选择当前课程下的教案，一个教案生成一个任务；支持按文本生成任务，支持教师通过输入文本、上传文件的方式生成任务</w:t>
      </w:r>
      <w:r>
        <w:rPr>
          <w:rFonts w:hint="eastAsia" w:ascii="宋体" w:hAnsi="宋体" w:eastAsia="宋体" w:cs="宋体"/>
          <w:color w:val="auto"/>
          <w:sz w:val="24"/>
          <w:szCs w:val="24"/>
          <w:highlight w:val="none"/>
          <w:lang w:eastAsia="zh-CN"/>
        </w:rPr>
        <w:t xml:space="preserve">。</w:t>
      </w:r>
      <w:r/>
    </w:p>
    <w:p>
      <w:pPr>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rPr>
        <w:t xml:space="preserve">任务信息页面支持编辑基础信息和任务设计内容，支持保存、预览、设置、发布任务，支持查看任务门户</w:t>
      </w:r>
      <w:r>
        <w:rPr>
          <w:rFonts w:hint="eastAsia" w:ascii="宋体" w:hAnsi="宋体" w:eastAsia="宋体" w:cs="宋体"/>
          <w:color w:val="auto"/>
          <w:sz w:val="24"/>
          <w:szCs w:val="24"/>
          <w:highlight w:val="none"/>
          <w:lang w:eastAsia="zh-CN"/>
        </w:rPr>
        <w:t xml:space="preserve">。</w:t>
      </w:r>
      <w:r/>
    </w:p>
    <w:p>
      <w:pPr>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rPr>
        <w:t xml:space="preserve">支持完成任务设计，进行任务分组、任务点添加和管理、任务点完成条件、任务达标标准的设置</w:t>
      </w:r>
      <w:r>
        <w:rPr>
          <w:rFonts w:hint="eastAsia" w:ascii="宋体" w:hAnsi="宋体" w:eastAsia="宋体" w:cs="宋体"/>
          <w:color w:val="auto"/>
          <w:sz w:val="24"/>
          <w:szCs w:val="24"/>
          <w:highlight w:val="none"/>
          <w:lang w:eastAsia="zh-CN"/>
        </w:rPr>
        <w:t xml:space="preserve">。</w:t>
      </w:r>
      <w:r/>
    </w:p>
    <w:p>
      <w:pPr>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rPr>
        <w:t xml:space="preserve">支持切换不同展示效果的任务设计（列表模式、卡片模式）</w:t>
      </w:r>
      <w:r>
        <w:rPr>
          <w:rFonts w:hint="eastAsia" w:ascii="宋体" w:hAnsi="宋体" w:eastAsia="宋体" w:cs="宋体"/>
          <w:color w:val="auto"/>
          <w:sz w:val="24"/>
          <w:szCs w:val="24"/>
          <w:highlight w:val="none"/>
          <w:lang w:eastAsia="zh-CN"/>
        </w:rPr>
        <w:t xml:space="preserve">。</w:t>
      </w:r>
      <w:r/>
    </w:p>
    <w:p>
      <w:pPr>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rPr>
        <w:t xml:space="preserve">支持在任务下添加具体的资源类型，其中包含视频、文档、笔记、课程内容（课程、章节、知识点）、作业、测验、自测、直播、课堂、问卷、审批、自定义</w:t>
      </w:r>
      <w:r>
        <w:rPr>
          <w:rFonts w:hint="eastAsia" w:ascii="宋体" w:hAnsi="宋体" w:eastAsia="宋体" w:cs="宋体"/>
          <w:color w:val="auto"/>
          <w:sz w:val="24"/>
          <w:szCs w:val="24"/>
          <w:highlight w:val="none"/>
          <w:lang w:eastAsia="zh-CN"/>
        </w:rPr>
        <w:t xml:space="preserve">。</w:t>
      </w:r>
      <w:r/>
    </w:p>
    <w:p>
      <w:pPr>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rPr>
        <w:t xml:space="preserve">支持在对应任务类型列表进行任务资源的维护，包括新建、查询、预览、管理、编辑操作</w:t>
      </w:r>
      <w:r>
        <w:rPr>
          <w:rFonts w:hint="eastAsia" w:ascii="宋体" w:hAnsi="宋体" w:eastAsia="宋体" w:cs="宋体"/>
          <w:color w:val="auto"/>
          <w:sz w:val="24"/>
          <w:szCs w:val="24"/>
          <w:highlight w:val="none"/>
          <w:lang w:eastAsia="zh-CN"/>
        </w:rPr>
        <w:t xml:space="preserve">。</w:t>
      </w:r>
      <w:r/>
    </w:p>
    <w:p>
      <w:pPr>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rPr>
        <w:t xml:space="preserve">支持自定义类型的任务点进行发放签到和成绩录入功能</w:t>
      </w:r>
      <w:r>
        <w:rPr>
          <w:rFonts w:hint="eastAsia" w:ascii="宋体" w:hAnsi="宋体" w:eastAsia="宋体" w:cs="宋体"/>
          <w:color w:val="auto"/>
          <w:sz w:val="24"/>
          <w:szCs w:val="24"/>
          <w:highlight w:val="none"/>
          <w:lang w:eastAsia="zh-CN"/>
        </w:rPr>
        <w:t xml:space="preserve">。</w:t>
      </w:r>
      <w:r/>
    </w:p>
    <w:p>
      <w:pPr>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rPr>
        <w:t xml:space="preserve">支持设置每个任务点的完成条件，不同类型的任务资源，完成条件不完全相等</w:t>
      </w:r>
      <w:r>
        <w:rPr>
          <w:rFonts w:hint="eastAsia" w:ascii="宋体" w:hAnsi="宋体" w:eastAsia="宋体" w:cs="宋体"/>
          <w:color w:val="auto"/>
          <w:sz w:val="24"/>
          <w:szCs w:val="24"/>
          <w:highlight w:val="none"/>
          <w:lang w:eastAsia="zh-CN"/>
        </w:rPr>
        <w:t xml:space="preserve">。</w:t>
      </w:r>
      <w:r/>
    </w:p>
    <w:p>
      <w:pPr>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11.</w:t>
      </w:r>
      <w:r>
        <w:rPr>
          <w:rFonts w:hint="eastAsia" w:ascii="宋体" w:hAnsi="宋体" w:eastAsia="宋体" w:cs="宋体"/>
          <w:color w:val="auto"/>
          <w:sz w:val="24"/>
          <w:szCs w:val="24"/>
          <w:highlight w:val="none"/>
        </w:rPr>
        <w:t xml:space="preserve">支持在分组下设置每个分组的组间完成条件</w:t>
      </w:r>
      <w:r>
        <w:rPr>
          <w:rFonts w:hint="eastAsia" w:ascii="宋体" w:hAnsi="宋体" w:eastAsia="宋体" w:cs="宋体"/>
          <w:color w:val="auto"/>
          <w:sz w:val="24"/>
          <w:szCs w:val="24"/>
          <w:highlight w:val="none"/>
          <w:lang w:eastAsia="zh-CN"/>
        </w:rPr>
        <w:t xml:space="preserve">。</w:t>
      </w:r>
      <w:r/>
    </w:p>
    <w:p>
      <w:pPr>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rPr>
        <w:t xml:space="preserve">支持在任务下设置整个任务的达标标准</w:t>
      </w:r>
      <w:r>
        <w:rPr>
          <w:rFonts w:hint="eastAsia" w:ascii="宋体" w:hAnsi="宋体" w:eastAsia="宋体" w:cs="宋体"/>
          <w:color w:val="auto"/>
          <w:sz w:val="24"/>
          <w:szCs w:val="24"/>
          <w:highlight w:val="none"/>
          <w:lang w:eastAsia="zh-CN"/>
        </w:rPr>
        <w:t xml:space="preserve">。</w:t>
      </w:r>
      <w:r/>
    </w:p>
    <w:p>
      <w:pPr>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13.</w:t>
      </w:r>
      <w:r>
        <w:rPr>
          <w:rFonts w:hint="eastAsia" w:ascii="宋体" w:hAnsi="宋体" w:eastAsia="宋体" w:cs="宋体"/>
          <w:color w:val="auto"/>
          <w:sz w:val="24"/>
          <w:szCs w:val="24"/>
          <w:highlight w:val="none"/>
        </w:rPr>
        <w:t xml:space="preserve">点击任务信息页面的设置按钮，支持对任务进行共建、克隆、报名设置、证书设置、其他设置等操作</w:t>
      </w:r>
      <w:r>
        <w:rPr>
          <w:rFonts w:hint="eastAsia" w:ascii="宋体" w:hAnsi="宋体" w:eastAsia="宋体" w:cs="宋体"/>
          <w:color w:val="auto"/>
          <w:sz w:val="24"/>
          <w:szCs w:val="24"/>
          <w:highlight w:val="none"/>
          <w:lang w:eastAsia="zh-CN"/>
        </w:rPr>
        <w:t xml:space="preserve">。</w:t>
      </w:r>
      <w:r/>
    </w:p>
    <w:p>
      <w:pPr>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14.</w:t>
      </w:r>
      <w:r>
        <w:rPr>
          <w:rFonts w:hint="eastAsia" w:ascii="宋体" w:hAnsi="宋体" w:eastAsia="宋体" w:cs="宋体"/>
          <w:color w:val="auto"/>
          <w:sz w:val="24"/>
          <w:szCs w:val="24"/>
          <w:highlight w:val="none"/>
        </w:rPr>
        <w:t xml:space="preserve">支持复制链接邀请其他教师参与当前任务的共建操作，支持设置邀请链接的有效期和是否发送通知</w:t>
      </w:r>
      <w:r>
        <w:rPr>
          <w:rFonts w:hint="eastAsia" w:ascii="宋体" w:hAnsi="宋体" w:eastAsia="宋体" w:cs="宋体"/>
          <w:color w:val="auto"/>
          <w:sz w:val="24"/>
          <w:szCs w:val="24"/>
          <w:highlight w:val="none"/>
          <w:lang w:eastAsia="zh-CN"/>
        </w:rPr>
        <w:t xml:space="preserve">。</w:t>
      </w:r>
      <w:r/>
    </w:p>
    <w:p>
      <w:pPr>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15.</w:t>
      </w:r>
      <w:r>
        <w:rPr>
          <w:rFonts w:hint="eastAsia" w:ascii="宋体" w:hAnsi="宋体" w:eastAsia="宋体" w:cs="宋体"/>
          <w:color w:val="auto"/>
          <w:sz w:val="24"/>
          <w:szCs w:val="24"/>
          <w:highlight w:val="none"/>
        </w:rPr>
        <w:t xml:space="preserve">支持勾选克隆按钮，将当前任务克隆给自己或他人（只克隆基本信息和任务设计内容）</w:t>
      </w:r>
      <w:r>
        <w:rPr>
          <w:rFonts w:hint="eastAsia" w:ascii="宋体" w:hAnsi="宋体" w:eastAsia="宋体" w:cs="宋体"/>
          <w:color w:val="auto"/>
          <w:sz w:val="24"/>
          <w:szCs w:val="24"/>
          <w:highlight w:val="none"/>
          <w:lang w:eastAsia="zh-CN"/>
        </w:rPr>
        <w:t xml:space="preserve">。</w:t>
      </w:r>
      <w:r/>
    </w:p>
    <w:p>
      <w:pPr>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16.</w:t>
      </w:r>
      <w:r>
        <w:rPr>
          <w:rFonts w:hint="eastAsia" w:ascii="宋体" w:hAnsi="宋体" w:eastAsia="宋体" w:cs="宋体"/>
          <w:color w:val="auto"/>
          <w:sz w:val="24"/>
          <w:szCs w:val="24"/>
          <w:highlight w:val="none"/>
        </w:rPr>
        <w:t xml:space="preserve">支持切换开关实现是否开启任务报名、任务报名是否填写信息、任务报名是否审批等操作（发布后报名表单不可更改）</w:t>
      </w:r>
      <w:r>
        <w:rPr>
          <w:rFonts w:hint="eastAsia" w:ascii="宋体" w:hAnsi="宋体" w:eastAsia="宋体" w:cs="宋体"/>
          <w:color w:val="auto"/>
          <w:sz w:val="24"/>
          <w:szCs w:val="24"/>
          <w:highlight w:val="none"/>
          <w:lang w:eastAsia="zh-CN"/>
        </w:rPr>
        <w:t xml:space="preserve">。</w:t>
      </w:r>
      <w:r/>
    </w:p>
    <w:p>
      <w:pPr>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17.</w:t>
      </w:r>
      <w:r>
        <w:rPr>
          <w:rFonts w:hint="eastAsia" w:ascii="宋体" w:hAnsi="宋体" w:eastAsia="宋体" w:cs="宋体"/>
          <w:color w:val="auto"/>
          <w:sz w:val="24"/>
          <w:szCs w:val="24"/>
          <w:highlight w:val="none"/>
        </w:rPr>
        <w:t xml:space="preserve">支持切换开关实现任务达标是否发放证书操作，支持编辑证书模版，查看发放证书</w:t>
      </w:r>
      <w:r>
        <w:rPr>
          <w:rFonts w:hint="eastAsia" w:ascii="宋体" w:hAnsi="宋体" w:eastAsia="宋体" w:cs="宋体"/>
          <w:color w:val="auto"/>
          <w:sz w:val="24"/>
          <w:szCs w:val="24"/>
          <w:highlight w:val="none"/>
          <w:lang w:eastAsia="zh-CN"/>
        </w:rPr>
        <w:t xml:space="preserve">。</w:t>
      </w:r>
      <w:r/>
    </w:p>
    <w:p>
      <w:pPr>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18.</w:t>
      </w:r>
      <w:r>
        <w:rPr>
          <w:rFonts w:hint="eastAsia" w:ascii="宋体" w:hAnsi="宋体" w:eastAsia="宋体" w:cs="宋体"/>
          <w:color w:val="auto"/>
          <w:sz w:val="24"/>
          <w:szCs w:val="24"/>
          <w:highlight w:val="none"/>
        </w:rPr>
        <w:t xml:space="preserve">任务统计页面，支持查看任务的学生和任务点概况；点击学生概况右侧的详情，支持查看当前任务的所有学生的学习情况；支持根据达标状态、学生姓名/账号的方式筛选符合条件的学生列表；点击学生的列表项右侧的详情，支持查看选中学生所有任务点的完成情况</w:t>
      </w:r>
      <w:r>
        <w:rPr>
          <w:rFonts w:hint="eastAsia" w:ascii="宋体" w:hAnsi="宋体" w:eastAsia="宋体" w:cs="宋体"/>
          <w:color w:val="auto"/>
          <w:sz w:val="24"/>
          <w:szCs w:val="24"/>
          <w:highlight w:val="none"/>
          <w:lang w:eastAsia="zh-CN"/>
        </w:rPr>
        <w:t xml:space="preserve">。</w:t>
      </w:r>
      <w:r/>
    </w:p>
    <w:p>
      <w:pPr>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19.</w:t>
      </w:r>
      <w:r>
        <w:rPr>
          <w:rFonts w:hint="eastAsia" w:ascii="宋体" w:hAnsi="宋体" w:eastAsia="宋体" w:cs="宋体"/>
          <w:color w:val="auto"/>
          <w:sz w:val="24"/>
          <w:szCs w:val="24"/>
          <w:highlight w:val="none"/>
        </w:rPr>
        <w:t xml:space="preserve">支持导出单个学生的任务点内容，支持全量导出、筛选导出、勾选导出三种方式</w:t>
      </w:r>
      <w:r>
        <w:rPr>
          <w:rFonts w:hint="eastAsia" w:ascii="宋体" w:hAnsi="宋体" w:eastAsia="宋体" w:cs="宋体"/>
          <w:color w:val="auto"/>
          <w:sz w:val="24"/>
          <w:szCs w:val="24"/>
          <w:highlight w:val="none"/>
          <w:lang w:eastAsia="zh-CN"/>
        </w:rPr>
        <w:t xml:space="preserve">。</w:t>
      </w:r>
      <w:r/>
    </w:p>
    <w:p>
      <w:pPr>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20.</w:t>
      </w:r>
      <w:r>
        <w:rPr>
          <w:rFonts w:hint="eastAsia" w:ascii="宋体" w:hAnsi="宋体" w:eastAsia="宋体" w:cs="宋体"/>
          <w:color w:val="auto"/>
          <w:sz w:val="24"/>
          <w:szCs w:val="24"/>
          <w:highlight w:val="none"/>
        </w:rPr>
        <w:t xml:space="preserve">支持设置督学条件对满足条件的学生发起督学，支持点击单个学生督学、勾选多个学生批量督学</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(2)学生任务引擎</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①支持学生点击个人空间-我的任务查看我的任务列表，支持学生点击课程-任务查看我的任务</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②点击进入学习，支持学生查看任务的基本信息，达标情况和解锁情况</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③支持点击达标按钮，查看学生当前的达标情况</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④任务设置发放证书后，任务达标后支持点击证书按钮，进行证书查看、下载操作</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⑤支持切换不同类型的学习路径（列表模式、框架模式、图谱模式），方便学生个性化学习</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⑥支持学生点击任务点进行学习，学习后返回任务详情，支持学生查看自己任务点的最新完成情况和待完成分组、任务点的解锁情况</w:t>
      </w:r>
      <w:r>
        <w:rPr>
          <w:rFonts w:hint="eastAsia" w:ascii="宋体" w:hAnsi="宋体" w:eastAsia="宋体" w:cs="宋体"/>
          <w:color w:val="auto"/>
          <w:sz w:val="24"/>
          <w:szCs w:val="24"/>
          <w:highlight w:val="none"/>
          <w:lang w:eastAsia="zh-CN"/>
        </w:rPr>
        <w:t xml:space="preserve">。</w:t>
      </w:r>
      <w:r/>
    </w:p>
    <w:p>
      <w:pPr>
        <w:ind w:left="0"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3.AI工作台</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(1)AI教案</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①支持选择课程章节或输入文本等方式由AI自动生成教案，并支持教师借助写作助手进行再次编辑。</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②支持教师补充教学角色、适合的教学风格，形成更加具有个性化的教案。</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③▲支持选择模板生成教案，系统提供20种以上模板，也可自定义教案内容模块生成教案。</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④生成的教案支持引用至课程内，也支持下载导出。</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AI生成PPT:支持输入文本内容、章节等内容，AI生成大纲，对生成的大纲可以根据需求进行编辑和修改，调整后AI生成PPT；PPT大纲支持设定受众、场景、语气等，对输入文本进行扩写、润色等方式生成PPT大纲，生成大纲后选择PPT模板生成PPT，生成的PPT支持在线编辑、上传课程、下载导出。</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(3)智能编写</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支持自定义文章类型、目录结构、写作风格、文章主题、面向对象、文章字数等由AI生成文章，生成文章支持在线编辑、复制、加入课程章节。</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(4)AI校正</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支持对文字自动校对，包括错字、漏字、缺字、多字、语法、错误、语义错误等可以自动校对标注。</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(5)AI写作辅助工具</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支持选择部分段落进行润色改写、扩写、简写、续写、中英翻译，直接替换或插入原文。</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(6)章节文档AI解析</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针对章节、资料中的文档，支持AI进行解析，生成文档摘要、脑图及词云。</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(7)章节视频AI解析</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针对章节中的视频，支持AI进行解析，生成视频摘要、视频分段总结、提取知识点、生成思维导图。</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(8)AI智能出题</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①支持通过知识点、输入文本、上传附件文档和视频、选定章节等多种方式，搭配补充出题要求说明，由AI自动生成相应试题。</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②支持选择多种题型，如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选择题、填空题、判断题、简答题等，满足不同类型考题需求。</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③支持设置出题要求，比如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适用学段、难易度、题目方向等。</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④教师可以在线编辑调整AI生成的试题，也可引用至课程题库内。</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(9)AI口语测评题</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输入需要学生跟读的文本，学生通过系统录制跟读的音频，系统对录音进行语音分析评估其完整度、准确度和流利度，并给出针对性的评分和反馈意见。支持选择包括汉语、英语及日语、韩语、俄语等多种小语种，设置评分严宽度。</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(10)听力题AI语音生成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支持输入对话或文本内容，例如听力材料、对话等内容，根据输入的文本内容自动生成对应的语音内容，可选择男性或女性不同音色的声音。</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(11)AI程序题</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AI自动对学生提交的代码进行评分和反馈。AI会根据预先设定的评分标准和规则，对学生提交的代码进行自动评分，包括代码质量、逻辑正确性、语法规范等方面，AI可以分析代码的复杂度，指出可能存在的改进空间，帮助学生提高代码的效率和可读性，程序题提供可支持代码运行环境支持学生提交代码在线运行。</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(12)公式识别</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题库智能导入试题时支持识别word文档中的LaTeX公式源码，并支持对识别后的公式进行再次编辑。公式编辑器增加图片识别功能，支持上传公式图片识别为LaTeX源码。</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(13)作业智能查重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使用先进检测算法，不仅支持全文比对海量资源库数据，还支持进行班级内的全方位比对，并生成详实的检测报告。</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(14)OCR识别</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支持在写作题作答时直接上传已写好作文的图片。系统能够准确识别各种字体、大小和语言的文字，并提取图片中的文字内容，将其转化为可编辑的文本格式。</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(15)主观题智能批阅</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对于计算题，支持对学生手写拍照的多张图片进行智能批阅，给出推荐得分和和评语。教师对AI批阅结果不满意时，可以重新生成AI批阅结果。对于英语作文，支持CET四级、CET六级等多种年级标准，支持逐句点评，指出学生作文中的拼写、语法错误。</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对于程序题，支持教师设置评分标准、测试用例AI会根据预先设定的评分标准和规则，对学生提交的代码进行自动评分，包括代码质量、逻辑正确性、语法规范等方面；对于学生提交的word文档，支持AI在原文件上生成批注痕迹。</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(16)学生举一反三自测</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支持学生自测及错题练习时，AI智能推送相关同类题，帮助学生加深对知识的理解。</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(17)AI评估试卷质量</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支持从题型题量、难易度、知识点覆盖以及题目质量等多个关键维度，对试卷质量进行深入、细致的评估，给提供相应建议。老师可以根据AI 推荐知识点，给题目一键关联知识点，健全知识图谱建设；老师可以进行AI【一键换题】操作，快速获取更优质、更合适的题目，提高试卷编撰效率和质量。</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(18)AIGC检测</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支持针对作业、文档等内容进行人工智能生成内容（AIGC）的综合检测及评估，并生成详细的检测报告。</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(19)AI实践</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■针对答题练习场景，支持教师设置核心问题及对应考核维度、知识点，AI 可依据任务类型、核心问题、考核维度与知识点自动生成多样化试题，并根据学生作答内容判断考核维度激活状态。对未激活的维度及知识点，系统将逐步引导学生补充作答以完成维度激活，最终结合学生完整作答过程生成学习质量评估报告，全面反映学生学习情况。</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■对于语言类课程教学场景，支持英语、日语、西班牙语等多种语言的对话、跟读练习。学生和AI进行语音对话，AI可对学生的发音准确度、流利度、表达内容质量等方面进行分析。</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(20)文献阅读</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通过大模型快速阅读和理解文字内容，自动生成词云、摘要、脑图、试题，基于自然对话方式进行问题回答。同时也支持针对章节、资料中的文档，支持AI进行解析，生成文档摘要、脑图及词云。</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(21)视频理解</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借助AI视频分析解读功能，实现机器问答、视频内容词云、脑图、试题、字幕生成等功能，视频中涉及的知识点将被自动识别并形成知识点片段和知识点词云。同时也支持针对章节中的视频，支持AI进行解析，生成视频摘要、视频分段总结、提取知识点、生成思维导图。</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(22)智能翻译</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PDF文件上传翻译，可以由英文、日文、韩文、法文、德文翻译为中文，支持10M、100页以内的PDF文档，支持查看翻译中状态，如原语言/目标语言、翻译时间、文件大小。支持阅读翻译结果对照显示模式和演示模式，支持按关键字搜索，全亮显示或者区分大小写。支持划词翻译，滑动对照显示窗口时，原文和译文同步滑动。</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(23)资料助手</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支持针对资源检索的常见问题，提供一站式高效解决方案，通过意图识别及语义分析，帮助师生迅速定位开放课程、音视频资料、试题、论文、期刊、图书、互联网资源等资料。</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(24)AI学情分析</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支持根据平台学生整体学习数据及专项数据，或者上传excel文档，教师可自定义分析维度，AI自动进行学生学情分析并提供建议提醒。</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①支持多班对比分析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对多个班级的数据进行深度分析，洞察每个班级的独特学情，为教育决策提供科学依据。</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②支持内置常见问题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智能解答，即刻响应。精准识别并预测用户常见问题，提供即时、精准的智能回复。</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③支持图表产出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引入多种统计图表，包括饼图、散点图、面积图、箱线图等，提供丰富的数据可视化选项，帮助教师把握数据背后的趋势与洞见。</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（25）AI 讲解</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学生在完成作业、试卷后，可在电脑端、手机端一键向 AI 发起提问，由 AI 讲解错题。教师端可查看到学生的提问记录。</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（26）AI 陪练</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为学习陪练助手，支持用户通过文字输入或选择本课知识点、薄弱知识点指定出题依据，可生成多类型试题，同时允许设置题目使用阶段与题目方向，且具备知识库模式，能从教师上传的知识库内容中召回相关信息进行出题；陪练结束后，系统可根据陪练情况自动生成学习评估结果与薄弱点分析，并依据分析推荐相关知识点学习资源，形成 “练习 - 评估 - 提升” 的完整学习闭环。</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（27）AI助教</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①支持多轮对话，可基于上一个问题的回答继续进行后续问答；</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②提问时支持通过语音、上传图片中的问题进行提问；</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③▲支持对校本网络教学平台已建设的网络课程资料的进行智能解析，围绕课程内容进行人机问答，支持一键同步及增量同步课程资源；且支持对接文献库，</w:t>
      </w:r>
      <w:r>
        <w:rPr>
          <w:rFonts w:hint="eastAsia" w:ascii="宋体" w:hAnsi="宋体" w:eastAsia="宋体" w:cs="宋体"/>
          <w:color w:val="auto"/>
          <w:sz w:val="24"/>
          <w:szCs w:val="24"/>
          <w:highlight w:val="none"/>
          <w:lang w:val="en-US" w:eastAsia="zh-CN"/>
        </w:rPr>
        <w:t xml:space="preserve">支持</w:t>
      </w:r>
      <w:r>
        <w:rPr>
          <w:rFonts w:hint="eastAsia" w:ascii="宋体" w:hAnsi="宋体" w:eastAsia="宋体" w:cs="宋体"/>
          <w:color w:val="auto"/>
          <w:sz w:val="24"/>
          <w:szCs w:val="24"/>
          <w:highlight w:val="none"/>
        </w:rPr>
        <w:t xml:space="preserve">一次性导入超过</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0本课程相关书籍，进行训练；</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④提问时支持用户上传文档，让大模型围绕此份文档智能回答相关问题；</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⑤支持用户自主选择是否需要大模型回复；</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⑥助教输出的答案支持显示来源，可截取显示与答案有关的原文内容，也可通过来源跳转回原文全文展开学习；</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⑦助教可针对原文文档进行智能解析，可提炼该文档的概述、导图等内容，并可提炼文档相关问答，结合文档内容针对性实现智能问答；</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⑧▲支持用户针对回答答案进行是否满意的选择，满意和不满意问题均会记录至后台，管理员可将其二次修改后加入问答库；</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⑨问答时支持智能推荐问题关联的相关微应用；</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⑩支持移动端、PC端多种使用渠道；</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⑪支持针对用户网络课程学习进度和掌握情况，个性化推荐学习资源；</w:t>
      </w:r>
      <w:r/>
    </w:p>
    <w:p>
      <w:pPr>
        <w:pStyle w:val="981"/>
        <w:numPr>
          <w:ilvl w:val="0"/>
          <w:numId w:val="0"/>
        </w:numPr>
        <w:ind w:lef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（七）能力图谱功能服务需求</w:t>
      </w:r>
      <w:r/>
    </w:p>
    <w:p>
      <w:pPr>
        <w:pStyle w:val="981"/>
        <w:numPr>
          <w:ilvl w:val="0"/>
          <w:numId w:val="0"/>
        </w:numPr>
        <w:ind w:lef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7.1</w:t>
      </w:r>
      <w:r>
        <w:rPr>
          <w:rFonts w:hint="eastAsia" w:ascii="宋体" w:hAnsi="宋体" w:eastAsia="宋体" w:cs="宋体"/>
          <w:b/>
          <w:bCs/>
          <w:color w:val="auto"/>
          <w:sz w:val="24"/>
          <w:szCs w:val="24"/>
          <w:highlight w:val="none"/>
        </w:rPr>
        <w:t xml:space="preserve">能力图谱构建</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1.支持能力点多层级架构建立，生成子父级能力点关系。</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手动添加、批量导入等方式构建能力图谱。批量导入需支持填写能力点名称、标签信息、认知维度、分类属性、教学目标、能力点说明等信息数据。手动编辑需支持单个或批量修改能力点属性编辑，可批量或单独对当前能力点进行移动。</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3.支持智能导入，用户上传课程大纲、教材等，系统智能识别构建生成能力图谱。</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4.支持本地导入xmind格式的思维导图文件，自动读取文件数据，生成课程能力图谱，并能够导出xmind格式文件。</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5.支持AI生成图谱功能，系统可以基于教师已经建设好的网络课程结合AI应用自动生成知识图谱，并支持直接使用生成的图谱，同时支持在生成的图谱上进行自定义化修改。</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.支持教师根据课程属性设定是否显示课程中心点。</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.能力图谱能力点支持说明添加，可添加富文本编辑框、公式编辑等富媒体文本。</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支持知识图谱自定义编辑功能，系统提供至少6种图谱形态，用户可根据课程性质选择合适的图谱形态进行编辑；支持知识图谱自定义颜色设定，可根据具体要求进行图谱知识点颜色的设定。同时支持图谱知识点自定义文字颜色及大小设置。</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.具备批量编辑图谱能力点功能，可实现批量对能力图谱能力点进行编辑修改。大纲模式下可实现对能力点进行批量全选设置。</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.具备任意拖动功能，可实现对能力图谱能力点的单个节点进行拖动，也可实现对整个能力图谱集合进行拖动。</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.支持对课程体系、知识图谱、知识关系等进行自定义显隐控制。</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.知识图谱显示支持2D和3D展示效果，用户可自主的进行模式切换。</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.图谱系统支持教师在图谱内自由上传图标，上传的图标会能够作为整体图谱的背景，便于知识图谱的构建与美化。</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.能力图谱的知识点需支持显隐设置，可以对具体的能力点设置显示或者隐藏。</w:t>
      </w:r>
      <w:r/>
    </w:p>
    <w:p>
      <w:pPr>
        <w:pStyle w:val="981"/>
        <w:numPr>
          <w:ilvl w:val="0"/>
          <w:numId w:val="0"/>
        </w:numPr>
        <w:ind w:lef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7.2</w:t>
      </w:r>
      <w:r>
        <w:rPr>
          <w:rFonts w:hint="eastAsia" w:ascii="宋体" w:hAnsi="宋体" w:eastAsia="宋体" w:cs="宋体"/>
          <w:b/>
          <w:bCs/>
          <w:color w:val="auto"/>
          <w:sz w:val="24"/>
          <w:szCs w:val="24"/>
          <w:highlight w:val="none"/>
        </w:rPr>
        <w:t xml:space="preserve">图谱管理</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1.支持建立以学校的教务课程-知识点为体系的知识点架构进行后台知识图谱框架管理。</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2.支持对教务课程的课程类别、课程性质进行增删改查管理。</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3.支持按照</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不同专业关联不同的课程，生成学科/专业知识图谱。</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4.支持为网络课程和教务课程建立独立的知识图谱，便于统一管理。</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5.支持知识点之间进行前置关系、后置关系、关联关系的设置。</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6.支持关联关系自定义，可进行添加描述并显示在图谱页面。</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7.支持给知识点打标签，自定义标签内容，支持同一个支持点标记多个标签。</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8.支持引用后台教务课程的知识图谱先进行审核，审核通过才允许引用，并记录引用次数。</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9.支持进行跨课知识点关联，实现不同课程自之间知识的聚合联动，关联后可以实现跨课学习并进行专业下多门课程的知识点关联展示应用。</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10.支持教师调整知识点在课程空间菜单栏的显示顺序。</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11.跨课知识点支持用户通过点击实现一键跳转。</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12.支持点击知识点后，其父级知识点节点高亮显示。</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13.支持对已删除知识点资源的实时更新。</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14.具备附加标签功能，能够实现知识点的分类和标识，支持知识点设定重点、难点以及考点等标签，同时支持用户自定义标签名称。</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15.支持知识点被赋予多种分类属性，包括事实性、概念性、程序性、元认知等。</w:t>
      </w:r>
      <w:r/>
    </w:p>
    <w:p>
      <w:pPr>
        <w:pStyle w:val="981"/>
        <w:numPr>
          <w:ilvl w:val="0"/>
          <w:numId w:val="0"/>
        </w:numPr>
        <w:ind w:lef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7.3</w:t>
      </w:r>
      <w:r>
        <w:rPr>
          <w:rFonts w:hint="eastAsia" w:ascii="宋体" w:hAnsi="宋体" w:eastAsia="宋体" w:cs="宋体"/>
          <w:b/>
          <w:bCs/>
          <w:color w:val="auto"/>
          <w:sz w:val="24"/>
          <w:szCs w:val="24"/>
          <w:highlight w:val="none"/>
        </w:rPr>
        <w:t xml:space="preserve">图谱展示</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1.自定义图谱</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具备自定义图谱功能，可根据个性化的图谱展示进行自定义图谱建设，包括图谱名称及图谱样式。</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2.知识森林</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具备知识森林图谱功能，可以将分散的知识资源聚合到一个动态、灵活的知识框架中，使知识资源的管理更加高效。</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3.能力图谱</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(1)系统允许根据不同班级特点定制课程能力，以满足特定教学需求。</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(2)课程能力标签系统支持为课程能录添加标签，包括自定义选项，便于目标的分类和识别。</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(3)支持对课程能力进行详细说明，以确保目标清晰明确。</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(4)支持对课程能力名称、课程能力标签、描述进行修改，保持课程内容的准确性和时效性。</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(5)支持检索课程能力标签以及课程能力名称，使用户能够快速找到特定目标。</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(6)支持课程能力与知识点进行关联，以展示目标与教学内容的直接联系。</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(7)提供一键同步功能，允许快速复制特定班级的课程能力和知识点关联，提高教学管理的效率。</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(8)支持利用图谱形式展现课程能力与知识点之间的关联，增强信息的视觉呈现和认知深度。</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4.问题图谱</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(1)系统提供对疑难、组合及基本问题的定义能力，允许用户添加问题详情及其与知识点的关联。</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(2)用户可根据教学需求，自定义栏目标题和描述，以适应多样化的教学情境。</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提供探索模式，使学生能够选择并深入分析多组问题，系统引导学生思考并整合相关联的知识点，支持学生识别并连接主线问题与子级问题，构建问题之间的层级关系，加深对问题网络的理解，为方便学生便捷探索，系统需提供“终止探索”和“提交”两种方式，且终止探索后记录不能被存档。</w:t>
      </w:r>
      <w:r/>
    </w:p>
    <w:p>
      <w:pPr>
        <w:pStyle w:val="981"/>
        <w:numPr>
          <w:ilvl w:val="0"/>
          <w:numId w:val="0"/>
        </w:numPr>
        <w:ind w:lef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（八）智能体功能服务需求</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1.通用大语言模型对接</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支持通用大语言模型对接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需求进行通用大语言模型或多个通用大模型对接，不限但需包括自有模型、Kimi、豆包、文心一言、deepseek等。</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2.课程专属智能体训练</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课程问答库，涵盖常见问题、重点难点问题与拓展性问题，为教师与学生提供即时问题解决支持。同时，问答库应支持智能检索与语义理解，提升答疑效率与精准度。</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(1)知识库建设</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资源上传与训练</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课程单元内容建设，可编辑视频、文档、图片、音频、图书、公式、符号、附件、网页、动画等。</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视频上传与播放支持rmvb、3gp、mpg、mpeg、mov、wmv、avi、mkv、mp4、flv、vob、f4v等高清和网络格式，视频上传后自动转码，无需下载可以直接在线进行播放。</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支持查看资源上传与训练状态，支持查看训练资源来源。</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支持按时间范围查看资源上传情况。</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支持通过任务中心查看训练进程。</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支持自定义文件分类，支持文件批量删除、重命名等操作。</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3.AI问答库建设</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支持自定义添加、编辑、删除、批量导入、批量导出、批量删除业务问答规则，业务问答规则数量无限制；</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支持手工启用、停用业务问答规则，可根据关键词搜索业务内容；</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业务问答规则中，答案支持文本、图片、语音、视频、自定义级联菜单、图文混排、链接等多种内容；</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自定义添加、编辑业务问答中问题标签，并根据标签进行问答提示；</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支持用户手动上传文档至问答库，上传后系统可上传的文档进行解析，解析后可智能回答文档相关问题；</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机器可自动对没有答案的问题描述进行关键词识别并统计聚类，按照关键词问答频率由高到低排序，同时可以批量导出未知问题；</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支持手工添加未知问题至业务问答规则，并支持自定义修改；</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支持自动忽略无意义的问法，比如无效数字字母的组合；</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支持根据用户输入问题进行匹配提示；</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4.应用库建设</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1）支持通过智能体问答，实现智能推荐关联的微应用。</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任务流智能体</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通过任务流低代码搭建专属智能体，教师可以根据自己的教学需求，自主构建专属智能体。通过直观的拖拽操作，包括代码、条件选择器、知识库等功能节点，动态选项、问答等交互节点，意图识别、大模型生成等大模型节点，轻松配置任务流，实现教学流程的个性化定制，让教学策略更加贴合个人教学风格和学生需求。</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6.智能体问答与资源推荐</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1）支持通过文字、语音等方式与智能体交互问答。</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支持大模型托底回答，使用自研教育垂直领域大模型，以AI知识库为训练数据，为师生提供智能可信的AI问答服务。</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7.智能体统计</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1）机器可自动对没有答案的问题描述进行关键词识别并统计聚类，按照关键词问答频率由高到低排序，同时可以批量导出未知问题；</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2）支持统计历史会话，可按照时间范围、使用渠道等维度进行筛选，并可查看、导出会话具体内容；</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3）支持统计访客信息，可分时间段了解访客访问趋势、地区等信息；</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4）支持分时间段查看问答匹配率、满意率的占比；</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5）支持查看热门问答；</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6）支持统计回复类型占比；</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7）支持统计问答库不同分类的问答比率；</w:t>
      </w:r>
      <w:r/>
    </w:p>
    <w:p>
      <w:pPr>
        <w:pStyle w:val="98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智能体支持按照</w:t>
      </w:r>
      <w:r>
        <w:rPr>
          <w:rFonts w:hint="eastAsia" w:ascii="宋体" w:hAnsi="宋体" w:eastAsia="宋体" w:cs="宋体"/>
          <w:color w:val="auto"/>
          <w:sz w:val="24"/>
          <w:szCs w:val="24"/>
          <w:highlight w:val="none"/>
          <w:lang w:eastAsia="zh-CN"/>
        </w:rPr>
        <w:t xml:space="preserve">学校</w:t>
      </w:r>
      <w:r>
        <w:rPr>
          <w:rFonts w:hint="eastAsia" w:ascii="宋体" w:hAnsi="宋体" w:eastAsia="宋体" w:cs="宋体"/>
          <w:color w:val="auto"/>
          <w:sz w:val="24"/>
          <w:szCs w:val="24"/>
          <w:highlight w:val="none"/>
        </w:rPr>
        <w:t xml:space="preserve">需求设置独立智能体，而不是在课程中建设的智能体。支持自建插件、MCP服务，支持自定义插件名称、插件地址、插件描述、请求头、请求参数，请求参数的类型支持选择Form、Json,并且支持自动解析。</w:t>
      </w:r>
      <w:r/>
    </w:p>
    <w:p>
      <w:pPr>
        <w:pStyle w:val="981"/>
        <w:numPr>
          <w:ilvl w:val="0"/>
          <w:numId w:val="0"/>
        </w:numPr>
        <w:ind w:lef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（九）校本数字教材平台功能服务需求</w:t>
      </w:r>
      <w:r/>
    </w:p>
    <w:p>
      <w:pPr>
        <w:ind w:left="0" w:firstLine="482"/>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1.数字教材展示平台</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(1)支持分板块展示已发布教材、建设中教材等教材分类，展示封面、教材名称等。支持页面美工的个性化定制。</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(2)教材门户支持查看已发布教材的版权信息、内容简介。支持在线查看教材主要内容，如章节目录、配套PPT、题库等资源的预览及配套数字资源的在线观看。</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(3)在线查看教材门户建设中教材的情况，并预览建设完成的章节内容。</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(4)教材门户展示教材编写团队及具体成员信息，包括姓名、所属院系等。</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(5)教材门户分类展示数字教材相关的新闻资讯信息条目及详情。</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(6)教材门户数据总览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展示已发布及建设中的数字教材数量、编写团队数量等信息。</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(7)教材门户展示教材编写、教材管理等快捷入口。</w:t>
      </w:r>
      <w:r/>
    </w:p>
    <w:p>
      <w:pPr>
        <w:ind w:left="0" w:firstLine="482"/>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2.数字教材编辑系统</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(1)支持用户自主创建教材，并且填写对应教材的标题、封面、主编等信息。</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(2)支持一个账号使用教材编辑器创建多本教材，编写列表展示账号下创建的所有教材，支持删除教材。</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(3)支持填写信息自主申请出版，并提供相应的数据后台。</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教材编写团队管理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教材总编辑可管理教材编写团队，包括添加成员、设置成员权限、移除成员。</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(5)提供数字教材编辑器，创建教材后提供默认的教材目录，支持按模板导入或自定义目录标题；支持标题、子标题等文档结构的创建和管理。</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(6)支持素材库新建文件夹、刷新、删除、移动、下载等操作。</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(7)支持2G以上超大文件资源上传至素材库，并在教材建设中引用。</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(8)可通过关键词或资源名称检索资源，支持通过文件类型分类检索。</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(9)教材章节管理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支持新建教材章、设置章节内容模板等；支持基本文本格式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标题层级、字号、</w:t>
      </w:r>
      <w:r>
        <w:rPr>
          <w:rFonts w:hint="eastAsia" w:ascii="宋体" w:hAnsi="宋体" w:eastAsia="宋体" w:cs="宋体"/>
          <w:color w:val="auto"/>
          <w:sz w:val="24"/>
          <w:szCs w:val="24"/>
          <w:highlight w:val="none"/>
        </w:rPr>
        <w:t xml:space="preserve">加粗、斜体、下划线、删除线、上标下标、颜色、背景色等。支持格式刷。</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rPr>
        <w:t xml:space="preserve">支持段落格式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对齐方式、缩进、行距等。</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rPr>
        <w:t xml:space="preserve">支持上传视频、音频、图片、word、excel、pdf、ppt等素材。</w:t>
      </w:r>
      <w:r>
        <w:rPr>
          <w:rFonts w:hint="eastAsia" w:ascii="宋体" w:hAnsi="宋体" w:eastAsia="宋体" w:cs="宋体"/>
          <w:color w:val="auto"/>
          <w:sz w:val="24"/>
          <w:szCs w:val="24"/>
          <w:highlight w:val="none"/>
        </w:rPr>
        <w:t xml:space="preserve">支持附件在线全屏查看或下载。</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rPr>
        <w:t xml:space="preserve">提供对LaTeX等语法的全面支持，可输入和编辑复杂的数理化公式。</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rPr>
        <w:t xml:space="preserve">支持代码块选择编程语言</w:t>
      </w:r>
      <w:r>
        <w:rPr>
          <w:rStyle w:val="1025"/>
          <w:rFonts w:hint="eastAsia" w:ascii="宋体" w:hAnsi="宋体" w:eastAsia="宋体" w:cs="宋体"/>
          <w:color w:val="auto"/>
          <w:sz w:val="24"/>
          <w:szCs w:val="24"/>
          <w:highlight w:val="none"/>
        </w:rPr>
        <w:t xml:space="preserve">。对插入的代码块进行上色，划分不同类型的代码。</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rPr>
        <w:t xml:space="preserve">支持超链接地址多种显示模式</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rPr>
        <w:t xml:space="preserve">支持导入obj、ply、stl等多种3D资源类型，支持缩放、旋转等简单交互。</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(16)支持全景资源内容嵌入和沉浸式学习体验。</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(17)支持对专有名词或关键词的释义进行注释的功能。</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rPr>
        <w:t xml:space="preserve">支持程序题题型，可选择PHP、Java等程序语言，录入用例后运行结果。</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rPr>
          <w:rFonts w:hint="eastAsia" w:ascii="宋体" w:hAnsi="宋体" w:eastAsia="宋体" w:cs="宋体"/>
          <w:color w:val="auto"/>
          <w:sz w:val="24"/>
          <w:szCs w:val="24"/>
          <w:highlight w:val="none"/>
        </w:rPr>
        <w:t xml:space="preserve">支持预览在建章节内容时收起、展开文档、视频等。</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(20)支持在编辑过程中实时查看平板、移动、电脑端的最终排版效果，排版效果与学生视角所看一致。</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(21)面向教材编辑者，统计编辑情况，比如版本更新时间、更新日志等等。提供章节、题库资源统计，包括章节视频总数及总时长、章节音频、文档等资料的总数、题库总数情况。</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(22)支持数字教材的便捷修订，满足数字教材快速迭代更新的需求。</w:t>
      </w:r>
      <w:r/>
    </w:p>
    <w:p>
      <w:pPr>
        <w:ind w:left="0" w:firstLine="482"/>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3.数字教材教学应用系统</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(1)数字教材需满足信息化教学的多终端适配需求。数字教材可通过平板、移动、电脑端应用于教学，支持辅助教学、翻转课堂、纯网络教学、直播课堂等多种教学模式。</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(2)提供丰富的已出版数字教材（200种以上）供教师选择。</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(3)支持单位统一采购和学生个人采购两种教材采购模式。</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(4)经过教师身份认证的用户可直接获取教材门户已出版教材的内容，并基于教材创建一门课程。</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(5)支持自学和跟班学习两种模式。学生获取教材后，可选择自学或跟随任课老师基于教材创建的课程班级进行同步学习。不限教材学习人数。</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数字教材的运行承载和教学使用必须通过一个APP实现。形成课前、课中、课后各环节闭环。课前，教师可将章节知识点视频、拓展阅读书目等发放给学生进行自主学习；课中，教师可使用手机端将PPT、章节等一键投屏至教室大屏端，通过手机控制大屏，利用各类活动控件发起教学活动，激活课堂。课后，教师可发放作业库中的作业给学生，及时检验学生的学习效果。</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(7)支持为教材设置配色样式模板，设置整体的配色风格。</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支持数字教材的混合媒体一体化编排设计的阅读，支持文字、图片、语音、视频、音频、3D资源在一个场景里沉浸式学习，支持按照章节目录索引。</w:t>
      </w:r>
      <w:r/>
    </w:p>
    <w:p>
      <w:pPr>
        <w:ind w:left="0" w:firstLine="482"/>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4.数字教材后台管理系统</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教材上下架管理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管理员可以对教材进行上架与下架处理。</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(2)■管理员可</w:t>
      </w:r>
      <w:r>
        <w:rPr>
          <w:rFonts w:hint="eastAsia" w:ascii="宋体" w:hAnsi="宋体" w:eastAsia="宋体" w:cs="宋体"/>
          <w:color w:val="auto"/>
          <w:sz w:val="24"/>
          <w:szCs w:val="24"/>
          <w:highlight w:val="none"/>
        </w:rPr>
        <w:t xml:space="preserve">进行单本发布或批量发布</w:t>
      </w:r>
      <w:r>
        <w:rPr>
          <w:rFonts w:hint="eastAsia" w:ascii="宋体" w:hAnsi="宋体" w:eastAsia="宋体" w:cs="宋体"/>
          <w:color w:val="auto"/>
          <w:sz w:val="24"/>
          <w:szCs w:val="24"/>
          <w:highlight w:val="none"/>
        </w:rPr>
        <w:t xml:space="preserve">。发布后，用户方可查看;管理后台需支持教材封面的上传，教材id、名称、主编、出版社、ISBN号等版权信息和教材内容简介的编辑;支持根据实际情况设置付费或免费，付费教材的购买记录可在后台形成数据统计。</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支持管理员在线查看每本教材的资源类型统计与详情，预览章节结构及配套课件、题库列表，查看全部章节内容。</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(4)支持管理员查看和导出教材的引用详情数据，包括出版教材数、教材引用数、开设班级数、学习人数等。</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(5)支持角色设置，不同角色包含不同信息，包括读者，学生，教师，作者、管理员等角色。不同角色可设置不同权限，分配不同空间，管理者角色可修改角色。</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(6)系统管理员可以管理本系统的用户账号。用户账号列表可以通过用户所在院系、用户所拥有的角色、用户工号、用户姓名等方式进行查询。</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(7)系统管理员可根据实际需要将用户移出或者再次添加至本单位。</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(8)支持用户多角色叠加，可以按需自由切换，包括但不限于读者身份、教师身份、作者身份等。</w:t>
      </w:r>
      <w:r/>
    </w:p>
    <w:p>
      <w:pPr>
        <w:pStyle w:val="981"/>
        <w:numPr>
          <w:ilvl w:val="0"/>
          <w:numId w:val="0"/>
        </w:numPr>
        <w:ind w:lef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（十）虚拟教研室平台功能服务需求</w:t>
      </w:r>
      <w:r/>
    </w:p>
    <w:p>
      <w:pPr>
        <w:pStyle w:val="981"/>
        <w:numPr>
          <w:ilvl w:val="0"/>
          <w:numId w:val="0"/>
        </w:numPr>
        <w:ind w:lef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rPr>
        <w:t xml:space="preserve">教研组管理</w:t>
      </w:r>
      <w:r/>
    </w:p>
    <w:p>
      <w:pPr>
        <w:ind w:left="0" w:firstLine="482"/>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教研组人员管理</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教务处管理员、教研室成员、教研室主任等多种身份。教务处管理员是全部虚拟教研室平台的管理人员，负责整个平台的整体运营和监管。教研室成员是虚拟教研室平台的主要用户群体，他们通过平台参与各类教研活动，共享教学资源，提升教学能力、教研室主任是各个虚拟教研室平台的直接管理人员，负责本教研室内部的日常管理和活动及通知发布工作。</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(2)教研室信息管理，可创建教研室名称、可编辑修改教研室介绍等。</w:t>
      </w:r>
      <w:r/>
    </w:p>
    <w:p>
      <w:pPr>
        <w:ind w:left="0" w:firstLine="482"/>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1.2</w:t>
      </w:r>
      <w:r>
        <w:rPr>
          <w:rFonts w:hint="eastAsia" w:ascii="宋体" w:hAnsi="宋体" w:eastAsia="宋体" w:cs="宋体"/>
          <w:b/>
          <w:color w:val="auto"/>
          <w:sz w:val="24"/>
          <w:szCs w:val="24"/>
          <w:highlight w:val="none"/>
        </w:rPr>
        <w:t xml:space="preserve">教研组基础信息管理</w:t>
      </w:r>
      <w:r/>
    </w:p>
    <w:p>
      <w:pPr>
        <w:pStyle w:val="125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(1)教研室主任可查阅并编辑教研室的封面图片及文本信息类介绍。</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(2)支持设置虚拟教研室是否可被展示在教研室广场，便于成员通过自主加入或扫描教研室二维码的方式参与。</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(3)教研室负责人享有对模块设置的编辑权限，支持对教研室首页布局调整。</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(4)教研室负责人可以对左侧导航栏模块显示顺序的设置。</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(5)教研室负责人可设置本教研室成果展示页面及左侧导航模块的显示设置，以满足多样化的展示需求。</w:t>
      </w:r>
      <w:r/>
    </w:p>
    <w:p>
      <w:pPr>
        <w:pStyle w:val="981"/>
        <w:numPr>
          <w:ilvl w:val="0"/>
          <w:numId w:val="0"/>
        </w:numPr>
        <w:ind w:lef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rPr>
        <w:t xml:space="preserve">教研组活动</w:t>
      </w:r>
      <w:r/>
    </w:p>
    <w:p>
      <w:pPr>
        <w:ind w:left="0" w:firstLine="482"/>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2.1</w:t>
      </w:r>
      <w:r>
        <w:rPr>
          <w:rFonts w:hint="eastAsia" w:ascii="宋体" w:hAnsi="宋体" w:eastAsia="宋体" w:cs="宋体"/>
          <w:b/>
          <w:color w:val="auto"/>
          <w:sz w:val="24"/>
          <w:szCs w:val="24"/>
          <w:highlight w:val="none"/>
        </w:rPr>
        <w:t xml:space="preserve">教研活动管理</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(1)</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lang w:eastAsia="zh-Hans"/>
        </w:rPr>
        <w:t xml:space="preserve">具备一站式</w:t>
      </w:r>
      <w:r>
        <w:rPr>
          <w:rFonts w:hint="eastAsia" w:ascii="宋体" w:hAnsi="宋体" w:eastAsia="宋体" w:cs="宋体"/>
          <w:color w:val="auto"/>
          <w:sz w:val="24"/>
          <w:szCs w:val="24"/>
          <w:highlight w:val="none"/>
        </w:rPr>
        <w:t xml:space="preserve">教研活动</w:t>
      </w:r>
      <w:r>
        <w:rPr>
          <w:rFonts w:hint="eastAsia" w:ascii="宋体" w:hAnsi="宋体" w:eastAsia="宋体" w:cs="宋体"/>
          <w:color w:val="auto"/>
          <w:sz w:val="24"/>
          <w:szCs w:val="24"/>
          <w:highlight w:val="none"/>
          <w:lang w:eastAsia="zh-Hans"/>
        </w:rPr>
        <w:t xml:space="preserve">管理。支持</w:t>
      </w:r>
      <w:r>
        <w:rPr>
          <w:rFonts w:hint="eastAsia" w:ascii="宋体" w:hAnsi="宋体" w:eastAsia="宋体" w:cs="宋体"/>
          <w:color w:val="auto"/>
          <w:sz w:val="24"/>
          <w:szCs w:val="24"/>
          <w:highlight w:val="none"/>
        </w:rPr>
        <w:t xml:space="preserve">教研活动</w:t>
      </w:r>
      <w:r>
        <w:rPr>
          <w:rFonts w:hint="eastAsia" w:ascii="宋体" w:hAnsi="宋体" w:eastAsia="宋体" w:cs="宋体"/>
          <w:color w:val="auto"/>
          <w:sz w:val="24"/>
          <w:szCs w:val="24"/>
          <w:highlight w:val="none"/>
          <w:lang w:eastAsia="zh-Hans"/>
        </w:rPr>
        <w:t xml:space="preserve">发布、通知提醒、</w:t>
      </w:r>
      <w:r>
        <w:rPr>
          <w:rFonts w:hint="eastAsia" w:ascii="宋体" w:hAnsi="宋体" w:eastAsia="宋体" w:cs="宋体"/>
          <w:color w:val="auto"/>
          <w:sz w:val="24"/>
          <w:szCs w:val="24"/>
          <w:highlight w:val="none"/>
        </w:rPr>
        <w:t xml:space="preserve">教研活动</w:t>
      </w:r>
      <w:r>
        <w:rPr>
          <w:rFonts w:hint="eastAsia" w:ascii="宋体" w:hAnsi="宋体" w:eastAsia="宋体" w:cs="宋体"/>
          <w:color w:val="auto"/>
          <w:sz w:val="24"/>
          <w:szCs w:val="24"/>
          <w:highlight w:val="none"/>
          <w:lang w:eastAsia="zh-Hans"/>
        </w:rPr>
        <w:t xml:space="preserve">报名（可指定报名对象）、在线报名、请假管理、</w:t>
      </w:r>
      <w:r>
        <w:rPr>
          <w:rFonts w:hint="eastAsia" w:ascii="宋体" w:hAnsi="宋体" w:eastAsia="宋体" w:cs="宋体"/>
          <w:color w:val="auto"/>
          <w:sz w:val="24"/>
          <w:szCs w:val="24"/>
          <w:highlight w:val="none"/>
        </w:rPr>
        <w:t xml:space="preserve">活动</w:t>
      </w:r>
      <w:r>
        <w:rPr>
          <w:rFonts w:hint="eastAsia" w:ascii="宋体" w:hAnsi="宋体" w:eastAsia="宋体" w:cs="宋体"/>
          <w:color w:val="auto"/>
          <w:sz w:val="24"/>
          <w:szCs w:val="24"/>
          <w:highlight w:val="none"/>
          <w:lang w:eastAsia="zh-Hans"/>
        </w:rPr>
        <w:t xml:space="preserve">签到、</w:t>
      </w:r>
      <w:r>
        <w:rPr>
          <w:rFonts w:hint="eastAsia" w:ascii="宋体" w:hAnsi="宋体" w:eastAsia="宋体" w:cs="宋体"/>
          <w:color w:val="auto"/>
          <w:sz w:val="24"/>
          <w:szCs w:val="24"/>
          <w:highlight w:val="none"/>
        </w:rPr>
        <w:t xml:space="preserve">作品提交</w:t>
      </w:r>
      <w:r>
        <w:rPr>
          <w:rFonts w:hint="eastAsia" w:ascii="宋体" w:hAnsi="宋体" w:eastAsia="宋体" w:cs="宋体"/>
          <w:color w:val="auto"/>
          <w:sz w:val="24"/>
          <w:szCs w:val="24"/>
          <w:highlight w:val="none"/>
          <w:lang w:eastAsia="zh-Hans"/>
        </w:rPr>
        <w:t xml:space="preserve">管理、</w:t>
      </w:r>
      <w:r>
        <w:rPr>
          <w:rFonts w:hint="eastAsia" w:ascii="宋体" w:hAnsi="宋体" w:eastAsia="宋体" w:cs="宋体"/>
          <w:color w:val="auto"/>
          <w:sz w:val="24"/>
          <w:szCs w:val="24"/>
          <w:highlight w:val="none"/>
        </w:rPr>
        <w:t xml:space="preserve">活动问卷</w:t>
      </w:r>
      <w:r>
        <w:rPr>
          <w:rFonts w:hint="eastAsia" w:ascii="宋体" w:hAnsi="宋体" w:eastAsia="宋体" w:cs="宋体"/>
          <w:color w:val="auto"/>
          <w:sz w:val="24"/>
          <w:szCs w:val="24"/>
          <w:highlight w:val="none"/>
          <w:lang w:eastAsia="zh-Hans"/>
        </w:rPr>
        <w:t xml:space="preserve">调查、</w:t>
      </w:r>
      <w:r>
        <w:rPr>
          <w:rFonts w:hint="eastAsia" w:ascii="宋体" w:hAnsi="宋体" w:eastAsia="宋体" w:cs="宋体"/>
          <w:color w:val="auto"/>
          <w:sz w:val="24"/>
          <w:szCs w:val="24"/>
          <w:highlight w:val="none"/>
        </w:rPr>
        <w:t xml:space="preserve">活动</w:t>
      </w:r>
      <w:r>
        <w:rPr>
          <w:rFonts w:hint="eastAsia" w:ascii="宋体" w:hAnsi="宋体" w:eastAsia="宋体" w:cs="宋体"/>
          <w:color w:val="auto"/>
          <w:sz w:val="24"/>
          <w:szCs w:val="24"/>
          <w:highlight w:val="none"/>
          <w:lang w:eastAsia="zh-Hans"/>
        </w:rPr>
        <w:t xml:space="preserve">成果管理、统计等业务流程一体化管理。</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(2)支持发起</w:t>
      </w:r>
      <w:r>
        <w:rPr>
          <w:rFonts w:hint="eastAsia" w:ascii="宋体" w:hAnsi="宋体" w:eastAsia="宋体" w:cs="宋体"/>
          <w:color w:val="auto"/>
          <w:sz w:val="24"/>
          <w:szCs w:val="24"/>
          <w:highlight w:val="none"/>
        </w:rPr>
        <w:t xml:space="preserve">教研</w:t>
      </w:r>
      <w:r>
        <w:rPr>
          <w:rFonts w:hint="eastAsia" w:ascii="宋体" w:hAnsi="宋体" w:eastAsia="宋体" w:cs="宋体"/>
          <w:color w:val="auto"/>
          <w:sz w:val="24"/>
          <w:szCs w:val="24"/>
          <w:highlight w:val="none"/>
          <w:lang w:eastAsia="zh-Hans"/>
        </w:rPr>
        <w:t xml:space="preserve">活动，上传</w:t>
      </w:r>
      <w:r>
        <w:rPr>
          <w:rFonts w:hint="eastAsia" w:ascii="宋体" w:hAnsi="宋体" w:eastAsia="宋体" w:cs="宋体"/>
          <w:color w:val="auto"/>
          <w:sz w:val="24"/>
          <w:szCs w:val="24"/>
          <w:highlight w:val="none"/>
        </w:rPr>
        <w:t xml:space="preserve">活动</w:t>
      </w:r>
      <w:r>
        <w:rPr>
          <w:rFonts w:hint="eastAsia" w:ascii="宋体" w:hAnsi="宋体" w:eastAsia="宋体" w:cs="宋体"/>
          <w:color w:val="auto"/>
          <w:sz w:val="24"/>
          <w:szCs w:val="24"/>
          <w:highlight w:val="none"/>
          <w:lang w:eastAsia="zh-Hans"/>
        </w:rPr>
        <w:t xml:space="preserve">封面，设置</w:t>
      </w:r>
      <w:r>
        <w:rPr>
          <w:rFonts w:hint="eastAsia" w:ascii="宋体" w:hAnsi="宋体" w:eastAsia="宋体" w:cs="宋体"/>
          <w:color w:val="auto"/>
          <w:sz w:val="24"/>
          <w:szCs w:val="24"/>
          <w:highlight w:val="none"/>
        </w:rPr>
        <w:t xml:space="preserve">活动</w:t>
      </w:r>
      <w:r>
        <w:rPr>
          <w:rFonts w:hint="eastAsia" w:ascii="宋体" w:hAnsi="宋体" w:eastAsia="宋体" w:cs="宋体"/>
          <w:color w:val="auto"/>
          <w:sz w:val="24"/>
          <w:szCs w:val="24"/>
          <w:highlight w:val="none"/>
          <w:lang w:eastAsia="zh-Hans"/>
        </w:rPr>
        <w:t xml:space="preserve">对象、</w:t>
      </w:r>
      <w:r>
        <w:rPr>
          <w:rFonts w:hint="eastAsia" w:ascii="宋体" w:hAnsi="宋体" w:eastAsia="宋体" w:cs="宋体"/>
          <w:color w:val="auto"/>
          <w:sz w:val="24"/>
          <w:szCs w:val="24"/>
          <w:highlight w:val="none"/>
        </w:rPr>
        <w:t xml:space="preserve">报名起止时间、活动起止时间、活动地点、活动</w:t>
      </w:r>
      <w:r>
        <w:rPr>
          <w:rFonts w:hint="eastAsia" w:ascii="宋体" w:hAnsi="宋体" w:eastAsia="宋体" w:cs="宋体"/>
          <w:color w:val="auto"/>
          <w:sz w:val="24"/>
          <w:szCs w:val="24"/>
          <w:highlight w:val="none"/>
          <w:lang w:eastAsia="zh-Hans"/>
        </w:rPr>
        <w:t xml:space="preserve">证书、报名表设置。</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(3)支持发布</w:t>
      </w:r>
      <w:r>
        <w:rPr>
          <w:rFonts w:hint="eastAsia" w:ascii="宋体" w:hAnsi="宋体" w:eastAsia="宋体" w:cs="宋体"/>
          <w:color w:val="auto"/>
          <w:sz w:val="24"/>
          <w:szCs w:val="24"/>
          <w:highlight w:val="none"/>
        </w:rPr>
        <w:t xml:space="preserve">教研活动</w:t>
      </w:r>
      <w:r>
        <w:rPr>
          <w:rFonts w:hint="eastAsia" w:ascii="宋体" w:hAnsi="宋体" w:eastAsia="宋体" w:cs="宋体"/>
          <w:color w:val="auto"/>
          <w:sz w:val="24"/>
          <w:szCs w:val="24"/>
          <w:highlight w:val="none"/>
          <w:lang w:eastAsia="zh-Hans"/>
        </w:rPr>
        <w:t xml:space="preserve">时，设置电子证书和报名表。</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(4)具备</w:t>
      </w:r>
      <w:r>
        <w:rPr>
          <w:rFonts w:hint="eastAsia" w:ascii="宋体" w:hAnsi="宋体" w:eastAsia="宋体" w:cs="宋体"/>
          <w:color w:val="auto"/>
          <w:sz w:val="24"/>
          <w:szCs w:val="24"/>
          <w:highlight w:val="none"/>
        </w:rPr>
        <w:t xml:space="preserve">教研活动</w:t>
      </w:r>
      <w:r>
        <w:rPr>
          <w:rFonts w:hint="eastAsia" w:ascii="宋体" w:hAnsi="宋体" w:eastAsia="宋体" w:cs="宋体"/>
          <w:color w:val="auto"/>
          <w:sz w:val="24"/>
          <w:szCs w:val="24"/>
          <w:highlight w:val="none"/>
          <w:lang w:eastAsia="zh-Hans"/>
        </w:rPr>
        <w:t xml:space="preserve">通知提醒，可通过移动端通知，实现活动发布时系统自动向全校教师推送消息，报名结果与审核结果定向反馈 ，活动开始前系统自动向报名教师推送消息。</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(5)具备灵活的活动报名策略，可实现多端口报名和取消报名的功能，</w:t>
      </w:r>
      <w:r>
        <w:rPr>
          <w:rFonts w:hint="eastAsia" w:ascii="宋体" w:hAnsi="宋体" w:eastAsia="宋体" w:cs="宋体"/>
          <w:color w:val="auto"/>
          <w:sz w:val="24"/>
          <w:szCs w:val="24"/>
          <w:highlight w:val="none"/>
        </w:rPr>
        <w:t xml:space="preserve">活动</w:t>
      </w:r>
      <w:r>
        <w:rPr>
          <w:rFonts w:hint="eastAsia" w:ascii="宋体" w:hAnsi="宋体" w:eastAsia="宋体" w:cs="宋体"/>
          <w:color w:val="auto"/>
          <w:sz w:val="24"/>
          <w:szCs w:val="24"/>
          <w:highlight w:val="none"/>
          <w:lang w:eastAsia="zh-Hans"/>
        </w:rPr>
        <w:t xml:space="preserve">发布后可通过移动端APP、电脑端实现自由报名，还可实现定向等多种</w:t>
      </w:r>
      <w:r>
        <w:rPr>
          <w:rFonts w:hint="eastAsia" w:ascii="宋体" w:hAnsi="宋体" w:eastAsia="宋体" w:cs="宋体"/>
          <w:color w:val="auto"/>
          <w:sz w:val="24"/>
          <w:szCs w:val="24"/>
          <w:highlight w:val="none"/>
        </w:rPr>
        <w:t xml:space="preserve">活动</w:t>
      </w:r>
      <w:r>
        <w:rPr>
          <w:rFonts w:hint="eastAsia" w:ascii="宋体" w:hAnsi="宋体" w:eastAsia="宋体" w:cs="宋体"/>
          <w:color w:val="auto"/>
          <w:sz w:val="24"/>
          <w:szCs w:val="24"/>
          <w:highlight w:val="none"/>
          <w:lang w:eastAsia="zh-Hans"/>
        </w:rPr>
        <w:t xml:space="preserve">报名方式，支持批量导入报名功能。</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(6)</w:t>
      </w:r>
      <w:r>
        <w:rPr>
          <w:rFonts w:hint="eastAsia" w:ascii="宋体" w:hAnsi="宋体" w:eastAsia="宋体" w:cs="宋体"/>
          <w:color w:val="auto"/>
          <w:sz w:val="24"/>
          <w:szCs w:val="24"/>
          <w:highlight w:val="none"/>
        </w:rPr>
        <w:t xml:space="preserve">支持线上参加活动的方式，支持在平台直接调用唤醒第三方会议工具，第三方会议工具产生的录屏、活动记录可以记录到平台中。</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Hans"/>
        </w:rPr>
        <w:t xml:space="preserve">支持进行</w:t>
      </w:r>
      <w:r>
        <w:rPr>
          <w:rFonts w:hint="eastAsia" w:ascii="宋体" w:hAnsi="宋体" w:eastAsia="宋体" w:cs="宋体"/>
          <w:color w:val="auto"/>
          <w:sz w:val="24"/>
          <w:szCs w:val="24"/>
          <w:highlight w:val="none"/>
        </w:rPr>
        <w:t xml:space="preserve">教研活动</w:t>
      </w:r>
      <w:r>
        <w:rPr>
          <w:rFonts w:hint="eastAsia" w:ascii="宋体" w:hAnsi="宋体" w:eastAsia="宋体" w:cs="宋体"/>
          <w:color w:val="auto"/>
          <w:sz w:val="24"/>
          <w:szCs w:val="24"/>
          <w:highlight w:val="none"/>
          <w:lang w:eastAsia="zh-Hans"/>
        </w:rPr>
        <w:t xml:space="preserve">失信管理设置，设定失信条件，限制失信人员报名</w:t>
      </w:r>
      <w:r>
        <w:rPr>
          <w:rFonts w:hint="eastAsia" w:ascii="宋体" w:hAnsi="宋体" w:eastAsia="宋体" w:cs="宋体"/>
          <w:color w:val="auto"/>
          <w:sz w:val="24"/>
          <w:szCs w:val="24"/>
          <w:highlight w:val="none"/>
        </w:rPr>
        <w:t xml:space="preserve">活动</w:t>
      </w:r>
      <w:r>
        <w:rPr>
          <w:rFonts w:hint="eastAsia" w:ascii="宋体" w:hAnsi="宋体" w:eastAsia="宋体" w:cs="宋体"/>
          <w:color w:val="auto"/>
          <w:sz w:val="24"/>
          <w:szCs w:val="24"/>
          <w:highlight w:val="none"/>
          <w:lang w:eastAsia="zh-Hans"/>
        </w:rPr>
        <w:t xml:space="preserve">。</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(8)具备报名申请的审核功能，支持批量审核操作和</w:t>
      </w:r>
      <w:r>
        <w:rPr>
          <w:rFonts w:hint="eastAsia" w:ascii="宋体" w:hAnsi="宋体" w:eastAsia="宋体" w:cs="宋体"/>
          <w:color w:val="auto"/>
          <w:sz w:val="24"/>
          <w:szCs w:val="24"/>
          <w:highlight w:val="none"/>
        </w:rPr>
        <w:t xml:space="preserve">活动</w:t>
      </w:r>
      <w:r>
        <w:rPr>
          <w:rFonts w:hint="eastAsia" w:ascii="宋体" w:hAnsi="宋体" w:eastAsia="宋体" w:cs="宋体"/>
          <w:color w:val="auto"/>
          <w:sz w:val="24"/>
          <w:szCs w:val="24"/>
          <w:highlight w:val="none"/>
          <w:lang w:eastAsia="zh-Hans"/>
        </w:rPr>
        <w:t xml:space="preserve">人员报名统计，可批量导出报名信息表。</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(9)具备</w:t>
      </w:r>
      <w:r>
        <w:rPr>
          <w:rFonts w:hint="eastAsia" w:ascii="宋体" w:hAnsi="宋体" w:eastAsia="宋体" w:cs="宋体"/>
          <w:color w:val="auto"/>
          <w:sz w:val="24"/>
          <w:szCs w:val="24"/>
          <w:highlight w:val="none"/>
        </w:rPr>
        <w:t xml:space="preserve">活动</w:t>
      </w:r>
      <w:r>
        <w:rPr>
          <w:rFonts w:hint="eastAsia" w:ascii="宋体" w:hAnsi="宋体" w:eastAsia="宋体" w:cs="宋体"/>
          <w:color w:val="auto"/>
          <w:sz w:val="24"/>
          <w:szCs w:val="24"/>
          <w:highlight w:val="none"/>
          <w:lang w:eastAsia="zh-Hans"/>
        </w:rPr>
        <w:t xml:space="preserve">签到设置，可灵活设置签到场次及时间，可对签到进行统计和管理，对签到状态可进行补签、请假等调整。</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(10)</w:t>
      </w:r>
      <w:r>
        <w:rPr>
          <w:rFonts w:hint="eastAsia" w:ascii="宋体" w:hAnsi="宋体" w:eastAsia="宋体" w:cs="宋体"/>
          <w:color w:val="auto"/>
          <w:sz w:val="24"/>
          <w:szCs w:val="24"/>
          <w:highlight w:val="none"/>
        </w:rPr>
        <w:t xml:space="preserve">教研</w:t>
      </w:r>
      <w:r>
        <w:rPr>
          <w:rFonts w:hint="eastAsia" w:ascii="宋体" w:hAnsi="宋体" w:eastAsia="宋体" w:cs="宋体"/>
          <w:color w:val="auto"/>
          <w:sz w:val="24"/>
          <w:szCs w:val="24"/>
          <w:highlight w:val="none"/>
          <w:lang w:eastAsia="zh-Hans"/>
        </w:rPr>
        <w:t xml:space="preserve">活动支持多种形式签到，包括固定二维码、动态二维码、手势签到、位置签到等。</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(11)具备发布</w:t>
      </w:r>
      <w:r>
        <w:rPr>
          <w:rFonts w:hint="eastAsia" w:ascii="宋体" w:hAnsi="宋体" w:eastAsia="宋体" w:cs="宋体"/>
          <w:color w:val="auto"/>
          <w:sz w:val="24"/>
          <w:szCs w:val="24"/>
          <w:highlight w:val="none"/>
        </w:rPr>
        <w:t xml:space="preserve">教研</w:t>
      </w:r>
      <w:r>
        <w:rPr>
          <w:rFonts w:hint="eastAsia" w:ascii="宋体" w:hAnsi="宋体" w:eastAsia="宋体" w:cs="宋体"/>
          <w:color w:val="auto"/>
          <w:sz w:val="24"/>
          <w:szCs w:val="24"/>
          <w:highlight w:val="none"/>
          <w:lang w:eastAsia="zh-Hans"/>
        </w:rPr>
        <w:t xml:space="preserve">活动功能，可发布培训签到</w:t>
      </w:r>
      <w:r>
        <w:rPr>
          <w:rFonts w:hint="eastAsia" w:ascii="宋体" w:hAnsi="宋体" w:eastAsia="宋体" w:cs="宋体"/>
          <w:color w:val="auto"/>
          <w:sz w:val="24"/>
          <w:szCs w:val="24"/>
          <w:highlight w:val="none"/>
        </w:rPr>
        <w:t xml:space="preserve">、活动作品提交</w:t>
      </w:r>
      <w:r>
        <w:rPr>
          <w:rFonts w:hint="eastAsia" w:ascii="宋体" w:hAnsi="宋体" w:eastAsia="宋体" w:cs="宋体"/>
          <w:color w:val="auto"/>
          <w:sz w:val="24"/>
          <w:szCs w:val="24"/>
          <w:highlight w:val="none"/>
          <w:lang w:eastAsia="zh-Hans"/>
        </w:rPr>
        <w:t xml:space="preserve">、问卷、通知，</w:t>
      </w:r>
      <w:r>
        <w:rPr>
          <w:rFonts w:hint="eastAsia" w:ascii="宋体" w:hAnsi="宋体" w:eastAsia="宋体" w:cs="宋体"/>
          <w:color w:val="auto"/>
          <w:sz w:val="24"/>
          <w:szCs w:val="24"/>
          <w:highlight w:val="none"/>
        </w:rPr>
        <w:t xml:space="preserve">活动作品提交</w:t>
      </w:r>
      <w:r>
        <w:rPr>
          <w:rFonts w:hint="eastAsia" w:ascii="宋体" w:hAnsi="宋体" w:eastAsia="宋体" w:cs="宋体"/>
          <w:color w:val="auto"/>
          <w:sz w:val="24"/>
          <w:szCs w:val="24"/>
          <w:highlight w:val="none"/>
          <w:lang w:eastAsia="zh-Hans"/>
        </w:rPr>
        <w:t xml:space="preserve">可用百分制或等级制。</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(12)</w:t>
      </w:r>
      <w:r>
        <w:rPr>
          <w:rFonts w:hint="eastAsia" w:ascii="宋体" w:hAnsi="宋体" w:eastAsia="宋体" w:cs="宋体"/>
          <w:color w:val="auto"/>
          <w:sz w:val="24"/>
          <w:szCs w:val="24"/>
          <w:highlight w:val="none"/>
        </w:rPr>
        <w:t xml:space="preserve">教研</w:t>
      </w:r>
      <w:r>
        <w:rPr>
          <w:rFonts w:hint="eastAsia" w:ascii="宋体" w:hAnsi="宋体" w:eastAsia="宋体" w:cs="宋体"/>
          <w:color w:val="auto"/>
          <w:sz w:val="24"/>
          <w:szCs w:val="24"/>
          <w:highlight w:val="none"/>
          <w:lang w:eastAsia="zh-Hans"/>
        </w:rPr>
        <w:t xml:space="preserve">结束后可进行培训评价，</w:t>
      </w:r>
      <w:r>
        <w:rPr>
          <w:rFonts w:hint="eastAsia" w:ascii="宋体" w:hAnsi="宋体" w:eastAsia="宋体" w:cs="宋体"/>
          <w:color w:val="auto"/>
          <w:sz w:val="24"/>
          <w:szCs w:val="24"/>
          <w:highlight w:val="none"/>
        </w:rPr>
        <w:t xml:space="preserve">支持管理员后台查看评价详情</w:t>
      </w:r>
      <w:r>
        <w:rPr>
          <w:rFonts w:hint="eastAsia" w:ascii="宋体" w:hAnsi="宋体" w:eastAsia="宋体" w:cs="宋体"/>
          <w:color w:val="auto"/>
          <w:sz w:val="24"/>
          <w:szCs w:val="24"/>
          <w:highlight w:val="none"/>
          <w:lang w:eastAsia="zh-Hans"/>
        </w:rPr>
        <w:t xml:space="preserve">。</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(13)针对每场结束的</w:t>
      </w:r>
      <w:r>
        <w:rPr>
          <w:rFonts w:hint="eastAsia" w:ascii="宋体" w:hAnsi="宋体" w:eastAsia="宋体" w:cs="宋体"/>
          <w:color w:val="auto"/>
          <w:sz w:val="24"/>
          <w:szCs w:val="24"/>
          <w:highlight w:val="none"/>
        </w:rPr>
        <w:t xml:space="preserve">教研活动</w:t>
      </w:r>
      <w:r>
        <w:rPr>
          <w:rFonts w:hint="eastAsia" w:ascii="宋体" w:hAnsi="宋体" w:eastAsia="宋体" w:cs="宋体"/>
          <w:color w:val="auto"/>
          <w:sz w:val="24"/>
          <w:szCs w:val="24"/>
          <w:highlight w:val="none"/>
          <w:lang w:eastAsia="zh-Hans"/>
        </w:rPr>
        <w:t xml:space="preserve">，系统自动生成</w:t>
      </w:r>
      <w:r>
        <w:rPr>
          <w:rFonts w:hint="eastAsia" w:ascii="宋体" w:hAnsi="宋体" w:eastAsia="宋体" w:cs="宋体"/>
          <w:color w:val="auto"/>
          <w:sz w:val="24"/>
          <w:szCs w:val="24"/>
          <w:highlight w:val="none"/>
        </w:rPr>
        <w:t xml:space="preserve">教研活动</w:t>
      </w:r>
      <w:r>
        <w:rPr>
          <w:rFonts w:hint="eastAsia" w:ascii="宋体" w:hAnsi="宋体" w:eastAsia="宋体" w:cs="宋体"/>
          <w:color w:val="auto"/>
          <w:sz w:val="24"/>
          <w:szCs w:val="24"/>
          <w:highlight w:val="none"/>
          <w:lang w:eastAsia="zh-Hans"/>
        </w:rPr>
        <w:t xml:space="preserve">报告。</w:t>
      </w:r>
      <w:r/>
    </w:p>
    <w:p>
      <w:pPr>
        <w:ind w:left="0" w:firstLine="482"/>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2.2</w:t>
      </w:r>
      <w:r>
        <w:rPr>
          <w:rFonts w:hint="eastAsia" w:ascii="宋体" w:hAnsi="宋体" w:eastAsia="宋体" w:cs="宋体"/>
          <w:b/>
          <w:color w:val="auto"/>
          <w:sz w:val="24"/>
          <w:szCs w:val="24"/>
          <w:highlight w:val="none"/>
        </w:rPr>
        <w:t xml:space="preserve">教研会议工具</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(1)课堂直播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Hans"/>
        </w:rPr>
        <w:t xml:space="preserve">云端实时直播，观看人数支持近千人</w:t>
      </w:r>
      <w:r>
        <w:rPr>
          <w:rFonts w:hint="eastAsia" w:ascii="宋体" w:hAnsi="宋体" w:eastAsia="宋体" w:cs="宋体"/>
          <w:color w:val="auto"/>
          <w:sz w:val="24"/>
          <w:szCs w:val="24"/>
          <w:highlight w:val="none"/>
        </w:rPr>
        <w:t xml:space="preserve">参与</w:t>
      </w:r>
      <w:r>
        <w:rPr>
          <w:rFonts w:hint="eastAsia" w:ascii="宋体" w:hAnsi="宋体" w:eastAsia="宋体" w:cs="宋体"/>
          <w:color w:val="auto"/>
          <w:sz w:val="24"/>
          <w:szCs w:val="24"/>
          <w:highlight w:val="none"/>
          <w:lang w:eastAsia="zh-Hans"/>
        </w:rPr>
        <w:t xml:space="preserve">，适用于大型培训、公开课、线上峰会等场景。</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(2)录制回放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w:t>
      </w:r>
      <w:r>
        <w:rPr>
          <w:rFonts w:hint="eastAsia" w:ascii="宋体" w:hAnsi="宋体" w:eastAsia="宋体" w:cs="宋体"/>
          <w:color w:val="auto"/>
          <w:sz w:val="24"/>
          <w:szCs w:val="24"/>
          <w:highlight w:val="none"/>
          <w:lang w:eastAsia="zh-Hans"/>
        </w:rPr>
        <w:t xml:space="preserve">云端录制，课堂内容一键存档，方便后续</w:t>
      </w:r>
      <w:r>
        <w:rPr>
          <w:rFonts w:hint="eastAsia" w:ascii="宋体" w:hAnsi="宋体" w:eastAsia="宋体" w:cs="宋体"/>
          <w:color w:val="auto"/>
          <w:sz w:val="24"/>
          <w:szCs w:val="24"/>
          <w:highlight w:val="none"/>
        </w:rPr>
        <w:t xml:space="preserve">留存</w:t>
      </w:r>
      <w:r>
        <w:rPr>
          <w:rFonts w:hint="eastAsia" w:ascii="宋体" w:hAnsi="宋体" w:eastAsia="宋体" w:cs="宋体"/>
          <w:color w:val="auto"/>
          <w:sz w:val="24"/>
          <w:szCs w:val="24"/>
          <w:highlight w:val="none"/>
          <w:lang w:eastAsia="zh-Hans"/>
        </w:rPr>
        <w:t xml:space="preserve">和分享。</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(3)共享屏幕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Hans"/>
        </w:rPr>
        <w:t xml:space="preserve">桌面和移动端均可共享，可共享声音、桌面画面等，可共享整个桌面画面，也可仅选择一个页面进行共享，例如浏览器页面、PPT等。若选择共享整个桌面的画面，还可使用画中画模式，实现既共享桌面又分享老师端摄像头视频的效果。</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(4)</w:t>
      </w:r>
      <w:r>
        <w:rPr>
          <w:rFonts w:hint="eastAsia" w:ascii="宋体" w:hAnsi="宋体" w:eastAsia="宋体" w:cs="宋体"/>
          <w:color w:val="auto"/>
          <w:sz w:val="24"/>
          <w:szCs w:val="24"/>
          <w:highlight w:val="none"/>
        </w:rPr>
        <w:t xml:space="preserve">共享</w:t>
      </w:r>
      <w:r>
        <w:rPr>
          <w:rFonts w:hint="eastAsia" w:ascii="宋体" w:hAnsi="宋体" w:eastAsia="宋体" w:cs="宋体"/>
          <w:color w:val="auto"/>
          <w:sz w:val="24"/>
          <w:szCs w:val="24"/>
          <w:highlight w:val="none"/>
          <w:lang w:eastAsia="zh-Hans"/>
        </w:rPr>
        <w:t xml:space="preserve">资料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Hans"/>
        </w:rPr>
        <w:t xml:space="preserve">支持上传</w:t>
      </w:r>
      <w:r>
        <w:rPr>
          <w:rFonts w:hint="eastAsia" w:ascii="宋体" w:hAnsi="宋体" w:eastAsia="宋体" w:cs="宋体"/>
          <w:color w:val="auto"/>
          <w:sz w:val="24"/>
          <w:szCs w:val="24"/>
          <w:highlight w:val="none"/>
        </w:rPr>
        <w:t xml:space="preserve">共享</w:t>
      </w:r>
      <w:r>
        <w:rPr>
          <w:rFonts w:hint="eastAsia" w:ascii="宋体" w:hAnsi="宋体" w:eastAsia="宋体" w:cs="宋体"/>
          <w:color w:val="auto"/>
          <w:sz w:val="24"/>
          <w:szCs w:val="24"/>
          <w:highlight w:val="none"/>
          <w:lang w:eastAsia="zh-Hans"/>
        </w:rPr>
        <w:t xml:space="preserve">资料，文档、表格、幻灯片、PDF 等多种格式文档</w:t>
      </w:r>
      <w:r>
        <w:rPr>
          <w:rFonts w:hint="eastAsia" w:ascii="宋体" w:hAnsi="宋体" w:eastAsia="宋体" w:cs="宋体"/>
          <w:color w:val="auto"/>
          <w:sz w:val="24"/>
          <w:szCs w:val="24"/>
          <w:highlight w:val="none"/>
        </w:rPr>
        <w:t xml:space="preserve">。</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(5)课堂聊天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Hans"/>
        </w:rPr>
        <w:t xml:space="preserve">支持开麦聊天外，还有聊天窗口，支持文字和表情发放。让展示更生动，让</w:t>
      </w:r>
      <w:r>
        <w:rPr>
          <w:rFonts w:hint="eastAsia" w:ascii="宋体" w:hAnsi="宋体" w:eastAsia="宋体" w:cs="宋体"/>
          <w:color w:val="auto"/>
          <w:sz w:val="24"/>
          <w:szCs w:val="24"/>
          <w:highlight w:val="none"/>
        </w:rPr>
        <w:t xml:space="preserve">其他教师</w:t>
      </w:r>
      <w:r>
        <w:rPr>
          <w:rFonts w:hint="eastAsia" w:ascii="宋体" w:hAnsi="宋体" w:eastAsia="宋体" w:cs="宋体"/>
          <w:color w:val="auto"/>
          <w:sz w:val="24"/>
          <w:szCs w:val="24"/>
          <w:highlight w:val="none"/>
          <w:lang w:eastAsia="zh-Hans"/>
        </w:rPr>
        <w:t xml:space="preserve">的反馈更及时。共享屏幕时，老师可在桌面左下角弹幕区实时看到</w:t>
      </w:r>
      <w:r>
        <w:rPr>
          <w:rFonts w:hint="eastAsia" w:ascii="宋体" w:hAnsi="宋体" w:eastAsia="宋体" w:cs="宋体"/>
          <w:color w:val="auto"/>
          <w:sz w:val="24"/>
          <w:szCs w:val="24"/>
          <w:highlight w:val="none"/>
        </w:rPr>
        <w:t xml:space="preserve">其他教师</w:t>
      </w:r>
      <w:r>
        <w:rPr>
          <w:rFonts w:hint="eastAsia" w:ascii="宋体" w:hAnsi="宋体" w:eastAsia="宋体" w:cs="宋体"/>
          <w:color w:val="auto"/>
          <w:sz w:val="24"/>
          <w:szCs w:val="24"/>
          <w:highlight w:val="none"/>
          <w:lang w:eastAsia="zh-Hans"/>
        </w:rPr>
        <w:t xml:space="preserve">发的互动消息，也可在此快速回复互动消息，共享屏幕的同时不影响收发消息。</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(6)演讲者视图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Hans"/>
        </w:rPr>
        <w:t xml:space="preserve">支持切换右侧成员列表和顶部成员列表。更聚焦屏幕分享的内容</w:t>
      </w:r>
      <w:r>
        <w:rPr>
          <w:rFonts w:hint="eastAsia" w:ascii="宋体" w:hAnsi="宋体" w:eastAsia="宋体" w:cs="宋体"/>
          <w:color w:val="auto"/>
          <w:sz w:val="24"/>
          <w:szCs w:val="24"/>
          <w:highlight w:val="none"/>
        </w:rPr>
        <w:t xml:space="preserve">。</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(7)宫格视图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Hans"/>
        </w:rPr>
        <w:t xml:space="preserve">支持设置一屏9等分和25等分，更聚焦成员的摄像头视频内容。</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Hans"/>
        </w:rPr>
        <w:t xml:space="preserve">同声翻译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Hans"/>
        </w:rPr>
        <w:t xml:space="preserve">支持将教师语音识别并翻译成设置语种以字幕方式展示于教师屏幕；支持教师对字幕展示进行设置可自由切换翻译语种，支持中转英、英转中、中转法、中转西班牙、中转日、中转德、中转俄、中转韩、中转阿拉伯、中转葡萄牙、中转印地、中转意大利等10种以上语言；支持设置字幕的背景样式不透明度，以及字幕文字大</w:t>
      </w:r>
      <w:r>
        <w:rPr>
          <w:rFonts w:hint="eastAsia" w:ascii="宋体" w:hAnsi="宋体" w:eastAsia="宋体" w:cs="宋体"/>
          <w:color w:val="auto"/>
          <w:sz w:val="24"/>
          <w:szCs w:val="24"/>
          <w:highlight w:val="none"/>
        </w:rPr>
        <w:t xml:space="preserve">小</w:t>
      </w:r>
      <w:r>
        <w:rPr>
          <w:rFonts w:hint="eastAsia" w:ascii="宋体" w:hAnsi="宋体" w:eastAsia="宋体" w:cs="宋体"/>
          <w:color w:val="auto"/>
          <w:sz w:val="24"/>
          <w:szCs w:val="24"/>
          <w:highlight w:val="none"/>
          <w:lang w:eastAsia="zh-Hans"/>
        </w:rPr>
        <w:t xml:space="preserve">显示颜色等</w:t>
      </w:r>
      <w:r>
        <w:rPr>
          <w:rFonts w:hint="eastAsia" w:ascii="宋体" w:hAnsi="宋体" w:eastAsia="宋体" w:cs="宋体"/>
          <w:color w:val="auto"/>
          <w:sz w:val="24"/>
          <w:szCs w:val="24"/>
          <w:highlight w:val="none"/>
        </w:rPr>
        <w:t xml:space="preserve">。</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(9)</w:t>
      </w:r>
      <w:r>
        <w:rPr>
          <w:rFonts w:hint="eastAsia" w:ascii="宋体" w:hAnsi="宋体" w:eastAsia="宋体" w:cs="宋体"/>
          <w:color w:val="auto"/>
          <w:sz w:val="24"/>
          <w:szCs w:val="24"/>
          <w:highlight w:val="none"/>
        </w:rPr>
        <w:t xml:space="preserve">会议前</w:t>
      </w:r>
      <w:r>
        <w:rPr>
          <w:rFonts w:hint="eastAsia" w:ascii="宋体" w:hAnsi="宋体" w:eastAsia="宋体" w:cs="宋体"/>
          <w:color w:val="auto"/>
          <w:sz w:val="24"/>
          <w:szCs w:val="24"/>
          <w:highlight w:val="none"/>
          <w:lang w:eastAsia="zh-Hans"/>
        </w:rPr>
        <w:t xml:space="preserve">的安全控制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Hans"/>
        </w:rPr>
        <w:t xml:space="preserve">发起</w:t>
      </w:r>
      <w:r>
        <w:rPr>
          <w:rFonts w:hint="eastAsia" w:ascii="宋体" w:hAnsi="宋体" w:eastAsia="宋体" w:cs="宋体"/>
          <w:color w:val="auto"/>
          <w:sz w:val="24"/>
          <w:szCs w:val="24"/>
          <w:highlight w:val="none"/>
        </w:rPr>
        <w:t xml:space="preserve">活动</w:t>
      </w:r>
      <w:r>
        <w:rPr>
          <w:rFonts w:hint="eastAsia" w:ascii="宋体" w:hAnsi="宋体" w:eastAsia="宋体" w:cs="宋体"/>
          <w:color w:val="auto"/>
          <w:sz w:val="24"/>
          <w:szCs w:val="24"/>
          <w:highlight w:val="none"/>
          <w:lang w:eastAsia="zh-Hans"/>
        </w:rPr>
        <w:t xml:space="preserve">时，进入</w:t>
      </w:r>
      <w:r>
        <w:rPr>
          <w:rFonts w:hint="eastAsia" w:ascii="宋体" w:hAnsi="宋体" w:eastAsia="宋体" w:cs="宋体"/>
          <w:color w:val="auto"/>
          <w:sz w:val="24"/>
          <w:szCs w:val="24"/>
          <w:highlight w:val="none"/>
        </w:rPr>
        <w:t xml:space="preserve">会议</w:t>
      </w:r>
      <w:r>
        <w:rPr>
          <w:rFonts w:hint="eastAsia" w:ascii="宋体" w:hAnsi="宋体" w:eastAsia="宋体" w:cs="宋体"/>
          <w:color w:val="auto"/>
          <w:sz w:val="24"/>
          <w:szCs w:val="24"/>
          <w:highlight w:val="none"/>
          <w:lang w:eastAsia="zh-Hans"/>
        </w:rPr>
        <w:t xml:space="preserve">的设置界面，即可对加入</w:t>
      </w:r>
      <w:r>
        <w:rPr>
          <w:rFonts w:hint="eastAsia" w:ascii="宋体" w:hAnsi="宋体" w:eastAsia="宋体" w:cs="宋体"/>
          <w:color w:val="auto"/>
          <w:sz w:val="24"/>
          <w:szCs w:val="24"/>
          <w:highlight w:val="none"/>
        </w:rPr>
        <w:t xml:space="preserve">会议</w:t>
      </w:r>
      <w:r>
        <w:rPr>
          <w:rFonts w:hint="eastAsia" w:ascii="宋体" w:hAnsi="宋体" w:eastAsia="宋体" w:cs="宋体"/>
          <w:color w:val="auto"/>
          <w:sz w:val="24"/>
          <w:szCs w:val="24"/>
          <w:highlight w:val="none"/>
          <w:lang w:eastAsia="zh-Hans"/>
        </w:rPr>
        <w:t xml:space="preserve">权限进行设置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Hans"/>
        </w:rPr>
        <w:t xml:space="preserve">允许任何人加入/允许本单位人员加入/选择允许加入的人员。</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(10)</w:t>
      </w:r>
      <w:r>
        <w:rPr>
          <w:rFonts w:hint="eastAsia" w:ascii="宋体" w:hAnsi="宋体" w:eastAsia="宋体" w:cs="宋体"/>
          <w:color w:val="auto"/>
          <w:sz w:val="24"/>
          <w:szCs w:val="24"/>
          <w:highlight w:val="none"/>
        </w:rPr>
        <w:t xml:space="preserve">会议</w:t>
      </w:r>
      <w:r>
        <w:rPr>
          <w:rFonts w:hint="eastAsia" w:ascii="宋体" w:hAnsi="宋体" w:eastAsia="宋体" w:cs="宋体"/>
          <w:color w:val="auto"/>
          <w:sz w:val="24"/>
          <w:szCs w:val="24"/>
          <w:highlight w:val="none"/>
          <w:lang w:eastAsia="zh-Hans"/>
        </w:rPr>
        <w:t xml:space="preserve">的安全控制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Hans"/>
        </w:rPr>
        <w:t xml:space="preserve">进入</w:t>
      </w:r>
      <w:r>
        <w:rPr>
          <w:rFonts w:hint="eastAsia" w:ascii="宋体" w:hAnsi="宋体" w:eastAsia="宋体" w:cs="宋体"/>
          <w:color w:val="auto"/>
          <w:sz w:val="24"/>
          <w:szCs w:val="24"/>
          <w:highlight w:val="none"/>
        </w:rPr>
        <w:t xml:space="preserve">会议</w:t>
      </w:r>
      <w:r>
        <w:rPr>
          <w:rFonts w:hint="eastAsia" w:ascii="宋体" w:hAnsi="宋体" w:eastAsia="宋体" w:cs="宋体"/>
          <w:color w:val="auto"/>
          <w:sz w:val="24"/>
          <w:szCs w:val="24"/>
          <w:highlight w:val="none"/>
          <w:lang w:eastAsia="zh-Hans"/>
        </w:rPr>
        <w:t xml:space="preserve">的设置界面，即可对</w:t>
      </w:r>
      <w:r>
        <w:rPr>
          <w:rFonts w:hint="eastAsia" w:ascii="宋体" w:hAnsi="宋体" w:eastAsia="宋体" w:cs="宋体"/>
          <w:color w:val="auto"/>
          <w:sz w:val="24"/>
          <w:szCs w:val="24"/>
          <w:highlight w:val="none"/>
        </w:rPr>
        <w:t xml:space="preserve">加入会议</w:t>
      </w:r>
      <w:r>
        <w:rPr>
          <w:rFonts w:hint="eastAsia" w:ascii="宋体" w:hAnsi="宋体" w:eastAsia="宋体" w:cs="宋体"/>
          <w:color w:val="auto"/>
          <w:sz w:val="24"/>
          <w:szCs w:val="24"/>
          <w:highlight w:val="none"/>
          <w:lang w:eastAsia="zh-Hans"/>
        </w:rPr>
        <w:t xml:space="preserve">权限进行设置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Hans"/>
        </w:rPr>
        <w:t xml:space="preserve">允许任何人加入/允许本单位人员加入/选择允许加入的人员；锁定</w:t>
      </w:r>
      <w:r>
        <w:rPr>
          <w:rFonts w:hint="eastAsia" w:ascii="宋体" w:hAnsi="宋体" w:eastAsia="宋体" w:cs="宋体"/>
          <w:color w:val="auto"/>
          <w:sz w:val="24"/>
          <w:szCs w:val="24"/>
          <w:highlight w:val="none"/>
        </w:rPr>
        <w:t xml:space="preserve">会议</w:t>
      </w:r>
      <w:r>
        <w:rPr>
          <w:rFonts w:hint="eastAsia" w:ascii="宋体" w:hAnsi="宋体" w:eastAsia="宋体" w:cs="宋体"/>
          <w:color w:val="auto"/>
          <w:sz w:val="24"/>
          <w:szCs w:val="24"/>
          <w:highlight w:val="none"/>
          <w:lang w:eastAsia="zh-Hans"/>
        </w:rPr>
        <w:t xml:space="preserve">，开启后，所有人不能再加入课堂；全员静音后，选择是否允许</w:t>
      </w:r>
      <w:r>
        <w:rPr>
          <w:rFonts w:hint="eastAsia" w:ascii="宋体" w:hAnsi="宋体" w:eastAsia="宋体" w:cs="宋体"/>
          <w:color w:val="auto"/>
          <w:sz w:val="24"/>
          <w:szCs w:val="24"/>
          <w:highlight w:val="none"/>
        </w:rPr>
        <w:t xml:space="preserve">参会人员</w:t>
      </w:r>
      <w:r>
        <w:rPr>
          <w:rFonts w:hint="eastAsia" w:ascii="宋体" w:hAnsi="宋体" w:eastAsia="宋体" w:cs="宋体"/>
          <w:color w:val="auto"/>
          <w:sz w:val="24"/>
          <w:szCs w:val="24"/>
          <w:highlight w:val="none"/>
          <w:lang w:eastAsia="zh-Hans"/>
        </w:rPr>
        <w:t xml:space="preserve">自我解除静音。</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rPr>
        <w:t xml:space="preserve">会议报告生成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支持查看课堂报告，包括统计的课堂表现、课堂中的活动回顾、课堂在线时长、发言次数。</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eastAsia="zh-Hans"/>
        </w:rPr>
        <w:t xml:space="preserve">具有移动客户端，支持iOS</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Hans"/>
        </w:rPr>
        <w:t xml:space="preserve">Android</w:t>
      </w:r>
      <w:r>
        <w:rPr>
          <w:rFonts w:hint="eastAsia" w:ascii="宋体" w:hAnsi="宋体" w:eastAsia="宋体" w:cs="宋体"/>
          <w:color w:val="auto"/>
          <w:sz w:val="24"/>
          <w:szCs w:val="24"/>
          <w:highlight w:val="none"/>
        </w:rPr>
        <w:t xml:space="preserve">、鸿蒙</w:t>
      </w:r>
      <w:r>
        <w:rPr>
          <w:rFonts w:hint="eastAsia" w:ascii="宋体" w:hAnsi="宋体" w:eastAsia="宋体" w:cs="宋体"/>
          <w:color w:val="auto"/>
          <w:sz w:val="24"/>
          <w:szCs w:val="24"/>
          <w:highlight w:val="none"/>
          <w:lang w:eastAsia="zh-Hans"/>
        </w:rPr>
        <w:t xml:space="preserve">操作系统，用于手机、Pad等智能移动终端中，实现在线移动</w:t>
      </w:r>
      <w:r>
        <w:rPr>
          <w:rFonts w:hint="eastAsia" w:ascii="宋体" w:hAnsi="宋体" w:eastAsia="宋体" w:cs="宋体"/>
          <w:color w:val="auto"/>
          <w:sz w:val="24"/>
          <w:szCs w:val="24"/>
          <w:highlight w:val="none"/>
        </w:rPr>
        <w:t xml:space="preserve">参会</w:t>
      </w:r>
      <w:r>
        <w:rPr>
          <w:rFonts w:hint="eastAsia" w:ascii="宋体" w:hAnsi="宋体" w:eastAsia="宋体" w:cs="宋体"/>
          <w:color w:val="auto"/>
          <w:sz w:val="24"/>
          <w:szCs w:val="24"/>
          <w:highlight w:val="none"/>
          <w:lang w:eastAsia="zh-Hans"/>
        </w:rPr>
        <w:t xml:space="preserve">。</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支持自研的教研会议系统。支持语音转写功能，支持设置开启转写功能时默认同时进行实时转写和同声翻译。支持教师设置声源语言及翻译显示，支持中转英、中转韩、中转日、中转泰、中转印尼语、中转越南语、中转马来语、中转葡萄牙、中转葡萄牙语等10种以上语言；支持自定义设置允许加入的人员，及锁定课堂功能。</w:t>
      </w:r>
      <w:r/>
    </w:p>
    <w:p>
      <w:pPr>
        <w:pStyle w:val="981"/>
        <w:numPr>
          <w:ilvl w:val="0"/>
          <w:numId w:val="0"/>
        </w:numPr>
        <w:ind w:lef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rPr>
        <w:t xml:space="preserve">教研成果共建</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Hans"/>
        </w:rPr>
        <w:t xml:space="preserve">(1)</w:t>
      </w:r>
      <w:r>
        <w:rPr>
          <w:rFonts w:hint="eastAsia" w:ascii="宋体" w:hAnsi="宋体" w:eastAsia="宋体" w:cs="宋体"/>
          <w:color w:val="auto"/>
          <w:sz w:val="24"/>
          <w:szCs w:val="24"/>
          <w:highlight w:val="none"/>
        </w:rPr>
        <w:t xml:space="preserve">支持教研室成员进行专利、课程、期刊、文献等内容文件的上传、查看、编辑等操作。</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Hans"/>
        </w:rPr>
        <w:t xml:space="preserve">(2)</w:t>
      </w:r>
      <w:r>
        <w:rPr>
          <w:rFonts w:hint="eastAsia" w:ascii="宋体" w:hAnsi="宋体" w:eastAsia="宋体" w:cs="宋体"/>
          <w:color w:val="auto"/>
          <w:sz w:val="24"/>
          <w:szCs w:val="24"/>
          <w:highlight w:val="none"/>
        </w:rPr>
        <w:t xml:space="preserve">支持文件的修改、删除及文件夹名称的灵活调整，支持权限分配，由不同的老师负责不同板块的共建。</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rPr>
        <w:t xml:space="preserve">支持教研室成员上传团队优秀的教学案例，如教学设计样例、优秀教案、精彩课件、示范课程和示范课堂等。</w:t>
      </w:r>
      <w:r/>
    </w:p>
    <w:p>
      <w:pPr>
        <w:pStyle w:val="981"/>
        <w:numPr>
          <w:ilvl w:val="0"/>
          <w:numId w:val="0"/>
        </w:numPr>
        <w:ind w:lef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rPr>
        <w:t xml:space="preserve">资源共建共享</w:t>
      </w:r>
      <w:r/>
    </w:p>
    <w:p>
      <w:pPr>
        <w:ind w:left="0" w:firstLine="482"/>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4.1</w:t>
      </w:r>
      <w:r>
        <w:rPr>
          <w:rFonts w:hint="eastAsia" w:ascii="宋体" w:hAnsi="宋体" w:eastAsia="宋体" w:cs="宋体"/>
          <w:b/>
          <w:color w:val="auto"/>
          <w:sz w:val="24"/>
          <w:szCs w:val="24"/>
          <w:highlight w:val="none"/>
        </w:rPr>
        <w:t xml:space="preserve">共建资源模块</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(1)电子教材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w:t>
      </w:r>
      <w:r>
        <w:rPr>
          <w:rFonts w:hint="eastAsia" w:ascii="宋体" w:hAnsi="宋体" w:eastAsia="宋体" w:cs="宋体"/>
          <w:color w:val="auto"/>
          <w:sz w:val="24"/>
          <w:szCs w:val="24"/>
          <w:highlight w:val="none"/>
          <w:lang w:eastAsia="zh-Hans"/>
        </w:rPr>
        <w:t xml:space="preserve">协同</w:t>
      </w:r>
      <w:r>
        <w:rPr>
          <w:rFonts w:hint="eastAsia" w:ascii="宋体" w:hAnsi="宋体" w:eastAsia="宋体" w:cs="宋体"/>
          <w:color w:val="auto"/>
          <w:sz w:val="24"/>
          <w:szCs w:val="24"/>
          <w:highlight w:val="none"/>
        </w:rPr>
        <w:t xml:space="preserve">共建</w:t>
      </w:r>
      <w:r>
        <w:rPr>
          <w:rFonts w:hint="eastAsia" w:ascii="宋体" w:hAnsi="宋体" w:eastAsia="宋体" w:cs="宋体"/>
          <w:color w:val="auto"/>
          <w:sz w:val="24"/>
          <w:szCs w:val="24"/>
          <w:highlight w:val="none"/>
          <w:lang w:eastAsia="zh-Hans"/>
        </w:rPr>
        <w:t xml:space="preserve">共享电子教材</w:t>
      </w:r>
      <w:r>
        <w:rPr>
          <w:rFonts w:hint="eastAsia" w:ascii="宋体" w:hAnsi="宋体" w:eastAsia="宋体" w:cs="宋体"/>
          <w:color w:val="auto"/>
          <w:sz w:val="24"/>
          <w:szCs w:val="24"/>
          <w:highlight w:val="none"/>
        </w:rPr>
        <w:t xml:space="preserve">。</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(2)教研会议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w:t>
      </w:r>
      <w:r>
        <w:rPr>
          <w:rFonts w:hint="eastAsia" w:ascii="宋体" w:hAnsi="宋体" w:eastAsia="宋体" w:cs="宋体"/>
          <w:color w:val="auto"/>
          <w:sz w:val="24"/>
          <w:szCs w:val="24"/>
          <w:highlight w:val="none"/>
          <w:lang w:eastAsia="zh-Hans"/>
        </w:rPr>
        <w:t xml:space="preserve">进行教研会议记录</w:t>
      </w:r>
      <w:r>
        <w:rPr>
          <w:rFonts w:hint="eastAsia" w:ascii="宋体" w:hAnsi="宋体" w:eastAsia="宋体" w:cs="宋体"/>
          <w:color w:val="auto"/>
          <w:sz w:val="24"/>
          <w:szCs w:val="24"/>
          <w:highlight w:val="none"/>
        </w:rPr>
        <w:t xml:space="preserve">。</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(3)教学视频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w:t>
      </w:r>
      <w:r>
        <w:rPr>
          <w:rFonts w:hint="eastAsia" w:ascii="宋体" w:hAnsi="宋体" w:eastAsia="宋体" w:cs="宋体"/>
          <w:color w:val="auto"/>
          <w:sz w:val="24"/>
          <w:szCs w:val="24"/>
          <w:highlight w:val="none"/>
          <w:lang w:eastAsia="zh-Hans"/>
        </w:rPr>
        <w:t xml:space="preserve">共享教学视频，并支持保存、下载、转发</w:t>
      </w:r>
      <w:r>
        <w:rPr>
          <w:rFonts w:hint="eastAsia" w:ascii="宋体" w:hAnsi="宋体" w:eastAsia="宋体" w:cs="宋体"/>
          <w:color w:val="auto"/>
          <w:sz w:val="24"/>
          <w:szCs w:val="24"/>
          <w:highlight w:val="none"/>
        </w:rPr>
        <w:t xml:space="preserve">。</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(4)教学大纲</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w:t>
      </w:r>
      <w:r>
        <w:rPr>
          <w:rFonts w:hint="eastAsia" w:ascii="宋体" w:hAnsi="宋体" w:eastAsia="宋体" w:cs="宋体"/>
          <w:color w:val="auto"/>
          <w:sz w:val="24"/>
          <w:szCs w:val="24"/>
          <w:highlight w:val="none"/>
          <w:lang w:eastAsia="zh-Hans"/>
        </w:rPr>
        <w:t xml:space="preserve">教研组内协同共建教学大纲设计</w:t>
      </w:r>
      <w:r>
        <w:rPr>
          <w:rFonts w:hint="eastAsia" w:ascii="宋体" w:hAnsi="宋体" w:eastAsia="宋体" w:cs="宋体"/>
          <w:color w:val="auto"/>
          <w:sz w:val="24"/>
          <w:szCs w:val="24"/>
          <w:highlight w:val="none"/>
        </w:rPr>
        <w:t xml:space="preserve">。</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(5)教学设计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w:t>
      </w:r>
      <w:r>
        <w:rPr>
          <w:rFonts w:hint="eastAsia" w:ascii="宋体" w:hAnsi="宋体" w:eastAsia="宋体" w:cs="宋体"/>
          <w:color w:val="auto"/>
          <w:sz w:val="24"/>
          <w:szCs w:val="24"/>
          <w:highlight w:val="none"/>
          <w:lang w:eastAsia="zh-Hans"/>
        </w:rPr>
        <w:t xml:space="preserve">教研组内共建共享教学设计文档</w:t>
      </w:r>
      <w:r>
        <w:rPr>
          <w:rFonts w:hint="eastAsia" w:ascii="宋体" w:hAnsi="宋体" w:eastAsia="宋体" w:cs="宋体"/>
          <w:color w:val="auto"/>
          <w:sz w:val="24"/>
          <w:szCs w:val="24"/>
          <w:highlight w:val="none"/>
        </w:rPr>
        <w:t xml:space="preserve">。</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Hans"/>
        </w:rPr>
        <w:t xml:space="preserve">教学课件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w:t>
      </w:r>
      <w:r>
        <w:rPr>
          <w:rFonts w:hint="eastAsia" w:ascii="宋体" w:hAnsi="宋体" w:eastAsia="宋体" w:cs="宋体"/>
          <w:color w:val="auto"/>
          <w:sz w:val="24"/>
          <w:szCs w:val="24"/>
          <w:highlight w:val="none"/>
          <w:lang w:eastAsia="zh-Hans"/>
        </w:rPr>
        <w:t xml:space="preserve">教研组内共享教学课件</w:t>
      </w:r>
      <w:r>
        <w:rPr>
          <w:rFonts w:hint="eastAsia" w:ascii="宋体" w:hAnsi="宋体" w:eastAsia="宋体" w:cs="宋体"/>
          <w:color w:val="auto"/>
          <w:sz w:val="24"/>
          <w:szCs w:val="24"/>
          <w:highlight w:val="none"/>
        </w:rPr>
        <w:t xml:space="preserve">。</w:t>
      </w:r>
      <w:r/>
    </w:p>
    <w:p>
      <w:pPr>
        <w:ind w:left="0" w:firstLine="482"/>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4.2</w:t>
      </w:r>
      <w:r>
        <w:rPr>
          <w:rFonts w:hint="eastAsia" w:ascii="宋体" w:hAnsi="宋体" w:eastAsia="宋体" w:cs="宋体"/>
          <w:b/>
          <w:color w:val="auto"/>
          <w:sz w:val="24"/>
          <w:szCs w:val="24"/>
          <w:highlight w:val="none"/>
        </w:rPr>
        <w:t xml:space="preserve">共建课程模块</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(1)支持教师团队跨越地域限制，实时在线研讨课程设计、共同编辑在线课程。</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(2)允许教师共建课堂资料库，通过资源共享与整合机制，构建丰富的课程素材库，提升课程开发效率与质量。</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(3)允许教师运用共建课程进行同步课堂授课。</w:t>
      </w:r>
      <w:r/>
    </w:p>
    <w:p>
      <w:pPr>
        <w:ind w:left="0" w:firstLine="482"/>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4.3</w:t>
      </w:r>
      <w:r>
        <w:rPr>
          <w:rFonts w:hint="eastAsia" w:ascii="宋体" w:hAnsi="宋体" w:eastAsia="宋体" w:cs="宋体"/>
          <w:b/>
          <w:color w:val="auto"/>
          <w:sz w:val="24"/>
          <w:szCs w:val="24"/>
          <w:highlight w:val="none"/>
        </w:rPr>
        <w:t xml:space="preserve">共建题库模块</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(1)习题共享与共建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教师可将自己编写的习题上传至平台，供教研组内成员共享使用。同时，支持多人协同编辑习题，不断完善题库内容。</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(2)分类管理与检索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支持对题库中的习题进行分类管理，如按知识点、难度，题型等级等进行分类。提供便捷的检索功能，帮助学生快速找到所需习题。</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(3)题目安全措施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支持题目加密，教师团队进入题库模块，需要进行密码验证。若课程允许学生自测，加密后学生将无法使用自测功能。</w:t>
      </w:r>
      <w:r/>
    </w:p>
    <w:p>
      <w:pPr>
        <w:pStyle w:val="981"/>
        <w:numPr>
          <w:ilvl w:val="0"/>
          <w:numId w:val="0"/>
        </w:numPr>
        <w:ind w:lef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5.</w:t>
      </w:r>
      <w:r>
        <w:rPr>
          <w:rFonts w:hint="eastAsia" w:ascii="宋体" w:hAnsi="宋体" w:eastAsia="宋体" w:cs="宋体"/>
          <w:b/>
          <w:bCs/>
          <w:color w:val="auto"/>
          <w:sz w:val="24"/>
          <w:szCs w:val="24"/>
          <w:highlight w:val="none"/>
        </w:rPr>
        <w:t xml:space="preserve">数据统计</w:t>
      </w:r>
      <w:r/>
    </w:p>
    <w:p>
      <w:pPr>
        <w:ind w:left="0" w:firstLine="482"/>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5.1</w:t>
      </w:r>
      <w:r>
        <w:rPr>
          <w:rFonts w:hint="eastAsia" w:ascii="宋体" w:hAnsi="宋体" w:eastAsia="宋体" w:cs="宋体"/>
          <w:b/>
          <w:color w:val="auto"/>
          <w:sz w:val="24"/>
          <w:szCs w:val="24"/>
          <w:highlight w:val="none"/>
        </w:rPr>
        <w:t xml:space="preserve">教研室总览</w:t>
      </w:r>
      <w:r/>
    </w:p>
    <w:p>
      <w:pPr>
        <w:pStyle w:val="1013"/>
        <w:ind w:left="0" w:firstLine="48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(1)教研室数量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统计全校范围内设立的虚拟教研室总数，以反映学校教研室的规模。</w:t>
      </w:r>
      <w:r/>
    </w:p>
    <w:p>
      <w:pPr>
        <w:pStyle w:val="1013"/>
        <w:ind w:left="0" w:firstLine="48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(2)参与人数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统计各个虚拟教研室中的成员总数，包括教师、学生和其他教研人员，以评估教研室的参与度。</w:t>
      </w:r>
      <w:r/>
    </w:p>
    <w:p>
      <w:pPr>
        <w:pStyle w:val="1013"/>
        <w:ind w:left="0" w:firstLine="48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(3)教研活动数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记录并统计虚拟教研室内组织的各类教研活动次数，如线上讨论、讲座、研讨会等，以衡量教研活动的活跃度。</w:t>
      </w:r>
      <w:r/>
    </w:p>
    <w:p>
      <w:pPr>
        <w:pStyle w:val="1013"/>
        <w:ind w:left="0" w:firstLine="48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(4)成果数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统计教研室成员在教研活动中产生的成果数量，如发表的论文、编写的教材、获得的专利等，以评价教研室的成果产出。</w:t>
      </w:r>
      <w:r/>
    </w:p>
    <w:p>
      <w:pPr>
        <w:pStyle w:val="981"/>
        <w:numPr>
          <w:ilvl w:val="0"/>
          <w:numId w:val="0"/>
        </w:numPr>
        <w:ind w:lef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（十一）校级竞赛管理系统功能服务需求</w:t>
      </w:r>
      <w:r/>
    </w:p>
    <w:p>
      <w:pPr>
        <w:ind w:left="0" w:firstLine="482"/>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1.角色管理</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(1)支持竞赛人员管理，可根据大赛要求设置不同角色和管理权限。</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(2)支持设置管理员、参赛人员、评审专家三种角色设置。</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(3)签署承诺书，可以根据赛事要求准备承诺书，参赛人员登录平台后首先需要进行承诺书阅读和同意，然后才可进行其他操作。</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根据赛事单位要求，可以调整和修改报名需要填写的字段要求，包括单位、院系、专业、邮箱、邮编、证件类型、证件号、通讯地址、参赛教师团队成员等，填写字段支持自定义设置。在报名时间范围内支持对报名信息的再次编辑。</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(5)我的作品管理，根据赛事要求上传参赛作品资料，包括文档、视频、图片、压缩包等资料形式。同时支持作品暂存和编辑。</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(6)可阶段性保存已经上传的参赛内容，参赛人员提交作品时，参赛内容如视频、动画、文档等资源可自动同步到网络教学平台云盘中，云盘中资源可作为存储用，也可以用于课程建设，资源共享等。</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根据赛事单位要求，可以设置个人资料填写的字段要求，包括单位、院系、学科、研究方向、开设课程、代表性教学研究成果、最高学历、个人照片、银行账户、邮箱、邮编、证件类型、证件号、通讯地址等。支持对个人资料的再次编辑。</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(8)可以查看提交的资料和视频，点击文档可以进行在线预览；点击视频可以进行全屏播放查看。</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(9)评审专家有单独的评审页面，根据要求进行打分，分数最多支持1位小数，评分结果自动计算。</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(10)评审意见为选填项，完成后可暂存意见，可对分数进行修改，也可直接提交。</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(11)可以通过评审状态搜索【已评审】、【待评审】和【暂存】的作品。可以对暂存的作品进行一键提交。</w:t>
      </w:r>
      <w:r/>
    </w:p>
    <w:p>
      <w:pPr>
        <w:ind w:left="0" w:firstLine="482"/>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2.竞赛管理</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（1）可发布多个校级竞赛，根据不同要求进行灵活设置。</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（2）支持大赛规则制作，设置报名时间、作品提交时间，限制报名对象范围。</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（3）支持设置是否进行二级作品审核，是否允许用户下载附件；支持设置选手提交作品数量。</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（4）支持对竞赛管理后台、参赛选手、专家评委不同界面进行灵活配置，根据需要配置显示、隐藏的模块和内容。</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（5）报名信息、评审专家等管理模块可进行功能字段设置，显示的列表字段、系统操作可进行开放或隐藏，还可根据需求对个别字段进行排序。</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支持按赛事要求对竞赛项目管理后台进行权限设置。</w:t>
      </w:r>
      <w:r/>
    </w:p>
    <w:p>
      <w:pPr>
        <w:ind w:left="0" w:firstLine="482"/>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3.竞赛报名管理</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Hans"/>
        </w:rPr>
        <w:t xml:space="preserve">参赛人员可在线进行报名，提交报名信息。</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Hans"/>
        </w:rPr>
        <w:t xml:space="preserve">管理人员可从管理后台浏览</w:t>
      </w:r>
      <w:r>
        <w:rPr>
          <w:rFonts w:hint="eastAsia" w:ascii="宋体" w:hAnsi="宋体" w:eastAsia="宋体" w:cs="宋体"/>
          <w:color w:val="auto"/>
          <w:sz w:val="24"/>
          <w:szCs w:val="24"/>
          <w:highlight w:val="none"/>
        </w:rPr>
        <w:t xml:space="preserve">所有参赛人员的姓名、院系、电话、资料进行查看、删除、导出等。</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（3）</w:t>
      </w:r>
      <w:r>
        <w:rPr>
          <w:rFonts w:hint="eastAsia" w:ascii="宋体" w:hAnsi="宋体" w:eastAsia="宋体" w:cs="宋体"/>
          <w:color w:val="auto"/>
          <w:sz w:val="24"/>
          <w:szCs w:val="24"/>
          <w:highlight w:val="none"/>
        </w:rPr>
        <w:t xml:space="preserve">可按参赛选手进行查询和筛选。</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（4）支持点击查看报名详细信息，可查看报名信息提交时间、提交人。</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（5）可对报名列表的显示字段进行勾选，按需进行信息展示。</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（6）可下载报名信息，并进行导出记录保存。</w:t>
      </w:r>
      <w:r/>
    </w:p>
    <w:p>
      <w:pPr>
        <w:ind w:left="0" w:firstLine="482"/>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4.评审专家管理</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（1）支持从专家库中勾选、批量导入两种方式添加评审专家。</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（2）可自定义设置专家组，评审作品直接发送至专家组成员进行作品评审。</w:t>
      </w:r>
      <w:r/>
    </w:p>
    <w:p>
      <w:pPr>
        <w:pStyle w:val="110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（3）可增加专家组，并对专家组进行成员管理，可从系统专家库中勾选添加专家、可对专家等级、学科进行修改。</w:t>
      </w:r>
      <w:r/>
    </w:p>
    <w:p>
      <w:pPr>
        <w:ind w:left="0" w:firstLine="482"/>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5.作品管理</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（1）支持对作品审核管理，可查看提交的作品详情，并对作品进行审核、删除等操作。</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 xml:space="preserve">（2）支持按参赛选手、作品名称、作品编号进行搜索，还可根据职务等级、学科、审核状态等进行筛选</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Hans"/>
        </w:rPr>
        <w:t xml:space="preserve">作品中支持快速配置各种类型数据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Hans"/>
        </w:rPr>
        <w:t xml:space="preserve">文本格式、筛选格式、富文本、附件、子表单等</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Hans"/>
        </w:rPr>
        <w:t xml:space="preserve">作品中附件支持灵活限制上传要求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Hans"/>
        </w:rPr>
        <w:t xml:space="preserve">附件个数、附件类型、附件大小、视频时长、视频分辨率等</w:t>
      </w:r>
      <w:r>
        <w:rPr>
          <w:rFonts w:hint="eastAsia" w:ascii="宋体" w:hAnsi="宋体" w:eastAsia="宋体" w:cs="宋体"/>
          <w:color w:val="auto"/>
          <w:sz w:val="24"/>
          <w:szCs w:val="24"/>
          <w:highlight w:val="none"/>
        </w:rPr>
        <w:t xml:space="preserve">。</w:t>
      </w:r>
      <w:r/>
    </w:p>
    <w:p>
      <w:pPr>
        <w:ind w:left="0" w:firstLine="482"/>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6.评审设置</w:t>
      </w:r>
      <w:r/>
    </w:p>
    <w:p>
      <w:pPr>
        <w:pStyle w:val="1106"/>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支持自定义添加作品评审方式，可根据每场竞赛的要求自定义评审维度指标及分数，设置每个评审方式对应的评审权重和评审起止时间。</w:t>
      </w:r>
      <w:r/>
    </w:p>
    <w:p>
      <w:pPr>
        <w:pStyle w:val="1106"/>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（2）支持编辑和修改评价维度、评价要点、评分，可对维度顺序进行调整。</w:t>
      </w:r>
      <w:r/>
    </w:p>
    <w:p>
      <w:pPr>
        <w:pStyle w:val="1106"/>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（3）支持增加、删除，评价维度和评分表，并进行修改。</w:t>
      </w:r>
      <w:r/>
    </w:p>
    <w:p>
      <w:pPr>
        <w:pStyle w:val="1106"/>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（4）支持管理人员通过后台查看专家评审进度、作品评审进度，并可批量导出评审数据。</w:t>
      </w:r>
      <w:r/>
    </w:p>
    <w:p>
      <w:pPr>
        <w:pStyle w:val="1106"/>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支持勾选去掉最低分和最高分，提供高级设置，包括但不限于评审分数计划规则设置、是否允许专家修改评审结果设置、匿名评审设置、专家评审可见字段设置、作品得分小数点位数设置、评审意见是否必填、评审意见分项设置等。</w:t>
      </w:r>
      <w:r/>
    </w:p>
    <w:p>
      <w:pPr>
        <w:ind w:left="0" w:firstLine="482"/>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7.作品评审</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对评审作品进行手动分配、随机分配，可设置随机分配规则，包括评审作品范围、评审专家范围、专家最多评审几个作品、是否评审相同学科、回避同院系等规则。支持自定义设置评审指标，支持根据实际情况设置网络评审或者线下评审，设置评分量表时，支持开启分项评分、权重分项分数，支持评审过程中后台管理员查看各个专家的评审进度。</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（2）专家个人中心根据评审范围自动生成评审列表，可查看作品详情，可进行评分表打分，支持填写评审意见。</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（3）支持使用赛序抽签功能，参赛选手抽取出场顺序后，专家评审作品的顺序会自动按照赛序排列进行；</w:t>
      </w:r>
      <w:r/>
    </w:p>
    <w:p>
      <w:pPr>
        <w:ind w:left="0" w:firstLine="482"/>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8.作品评审结果</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（1）支持查看作品评审各项得分以及实际得分，进行获奖等级添加。</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（2）支持优秀作品推送至网站首页。</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（3）支持评审结果按成绩正序、倒序进行排序显示，支持按照作品名称、作品编号、参赛人员进行筛选。</w:t>
      </w:r>
      <w:r/>
    </w:p>
    <w:p>
      <w:pPr>
        <w:pStyle w:val="981"/>
        <w:numPr>
          <w:ilvl w:val="0"/>
          <w:numId w:val="0"/>
        </w:numPr>
        <w:ind w:lef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（十二）教师教学能力提升课程资源需求</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 xml:space="preserve">1.</w:t>
      </w:r>
      <w:r>
        <w:rPr>
          <w:rFonts w:hint="eastAsia" w:ascii="宋体" w:hAnsi="宋体" w:eastAsia="宋体" w:cs="宋体"/>
          <w:color w:val="auto"/>
          <w:sz w:val="24"/>
          <w:szCs w:val="24"/>
          <w:highlight w:val="none"/>
        </w:rPr>
        <w:t xml:space="preserve">在线培训课程体系应涵盖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TW"/>
        </w:rPr>
        <w:t xml:space="preserve">理论学习、师德师风、热点专题、高校教师岗前培训、教育改革与教学理念、教学能力提升、信息技术应用、教师职业生涯规划、教师身心健康、示范课等模块的课程体系。</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 xml:space="preserve">2.师资主要来源于</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rPr>
        <w:t xml:space="preserve">985/211高校、中国科学院、中国社会科学院等国内外知名院校或科研机构。并且服务商提供的课程须无任何版权争议。</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zh-TW" w:eastAsia="zh-CN"/>
        </w:rPr>
      </w:pPr>
      <w:r>
        <w:rPr>
          <w:rFonts w:hint="eastAsia" w:ascii="宋体" w:hAnsi="宋体" w:eastAsia="宋体" w:cs="宋体"/>
          <w:color w:val="auto"/>
          <w:sz w:val="24"/>
          <w:szCs w:val="24"/>
          <w:highlight w:val="none"/>
          <w:lang w:val="zh-TW"/>
        </w:rPr>
        <w:t xml:space="preserve">3.在线培训课程数量不少于</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00+</w:t>
      </w:r>
      <w:r>
        <w:rPr>
          <w:rFonts w:hint="eastAsia" w:ascii="宋体" w:hAnsi="宋体" w:eastAsia="宋体" w:cs="宋体"/>
          <w:color w:val="auto"/>
          <w:sz w:val="24"/>
          <w:szCs w:val="24"/>
          <w:highlight w:val="none"/>
          <w:lang w:val="zh-TW"/>
        </w:rPr>
        <w:t xml:space="preserve">门，提供定期课程更新服务。为满足我校教师需要，需包含下列课程</w:t>
      </w:r>
      <w:r>
        <w:rPr>
          <w:rFonts w:hint="eastAsia" w:ascii="宋体" w:hAnsi="宋体" w:eastAsia="宋体" w:cs="宋体"/>
          <w:color w:val="auto"/>
          <w:sz w:val="24"/>
          <w:szCs w:val="24"/>
          <w:highlight w:val="none"/>
          <w:lang w:val="zh-TW" w:eastAsia="zh-CN"/>
        </w:rPr>
        <w:t xml:space="preserve">:</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 xml:space="preserve">(1)理念学习模块包含</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rPr>
        <w:t xml:space="preserve">习近平总书记关于教育的重要论述研究、“四史”学习、思想政治学习等，课程数量不少于</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TW"/>
        </w:rPr>
        <w:t xml:space="preserve">门。</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 xml:space="preserve">(2)师德师风模块包含</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rPr>
        <w:t xml:space="preserve">《新时代师德建设的形势与任务》、《教师职业道德与专业发展》等不少于</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TW"/>
        </w:rPr>
        <w:t xml:space="preserve">门。</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 xml:space="preserve">(3)热点专题模块包含</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rPr>
        <w:t xml:space="preserve">一流课程建设、教学审核评估与质量保障、人工智能、知识图谱，课程数据不少于</w:t>
      </w:r>
      <w:r>
        <w:rPr>
          <w:rFonts w:hint="eastAsia" w:ascii="宋体" w:hAnsi="宋体" w:eastAsia="宋体" w:cs="宋体"/>
          <w:color w:val="auto"/>
          <w:sz w:val="24"/>
          <w:szCs w:val="24"/>
          <w:highlight w:val="none"/>
        </w:rPr>
        <w:t xml:space="preserve">100</w:t>
      </w:r>
      <w:r>
        <w:rPr>
          <w:rFonts w:hint="eastAsia" w:ascii="宋体" w:hAnsi="宋体" w:eastAsia="宋体" w:cs="宋体"/>
          <w:color w:val="auto"/>
          <w:sz w:val="24"/>
          <w:szCs w:val="24"/>
          <w:highlight w:val="none"/>
          <w:lang w:val="zh-TW"/>
        </w:rPr>
        <w:t xml:space="preserve">门。</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 xml:space="preserve">(4)教学大赛模块包含</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rPr>
        <w:t xml:space="preserve">教学创新大赛、青年教师教学竞赛，课程不少于</w:t>
      </w:r>
      <w:r>
        <w:rPr>
          <w:rFonts w:hint="eastAsia" w:ascii="宋体" w:hAnsi="宋体" w:eastAsia="宋体" w:cs="宋体"/>
          <w:color w:val="auto"/>
          <w:sz w:val="24"/>
          <w:szCs w:val="24"/>
          <w:highlight w:val="none"/>
        </w:rPr>
        <w:t xml:space="preserve">70</w:t>
      </w:r>
      <w:r>
        <w:rPr>
          <w:rFonts w:hint="eastAsia" w:ascii="宋体" w:hAnsi="宋体" w:eastAsia="宋体" w:cs="宋体"/>
          <w:color w:val="auto"/>
          <w:sz w:val="24"/>
          <w:szCs w:val="24"/>
          <w:highlight w:val="none"/>
          <w:lang w:val="zh-TW"/>
        </w:rPr>
        <w:t xml:space="preserve">门。</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 xml:space="preserve">(5)</w:t>
      </w:r>
      <w:r>
        <w:rPr>
          <w:rFonts w:hint="eastAsia" w:ascii="宋体" w:hAnsi="宋体" w:eastAsia="宋体" w:cs="宋体"/>
          <w:color w:val="auto"/>
          <w:sz w:val="24"/>
          <w:szCs w:val="24"/>
          <w:highlight w:val="none"/>
        </w:rPr>
        <w:t xml:space="preserve">高</w:t>
      </w:r>
      <w:r>
        <w:rPr>
          <w:rFonts w:hint="eastAsia" w:ascii="宋体" w:hAnsi="宋体" w:eastAsia="宋体" w:cs="宋体"/>
          <w:color w:val="auto"/>
          <w:sz w:val="24"/>
          <w:szCs w:val="24"/>
          <w:highlight w:val="none"/>
          <w:lang w:val="zh-TW"/>
        </w:rPr>
        <w:t xml:space="preserve">校教师岗前培训模块包含</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rPr>
        <w:t xml:space="preserve">《教育学基础》、《教育心理学》、《教育法学》，课程数量不少于</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TW"/>
        </w:rPr>
        <w:t xml:space="preserve">门。</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 xml:space="preserve">(6)教育改革与教学理念模块包含</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rPr>
        <w:t xml:space="preserve">高等教育发展趋势、教学理念等，课程数量不少于</w:t>
      </w:r>
      <w:r>
        <w:rPr>
          <w:rFonts w:hint="eastAsia" w:ascii="宋体" w:hAnsi="宋体" w:eastAsia="宋体" w:cs="宋体"/>
          <w:color w:val="auto"/>
          <w:sz w:val="24"/>
          <w:szCs w:val="24"/>
          <w:highlight w:val="none"/>
        </w:rPr>
        <w:t xml:space="preserve">40</w:t>
      </w:r>
      <w:r>
        <w:rPr>
          <w:rFonts w:hint="eastAsia" w:ascii="宋体" w:hAnsi="宋体" w:eastAsia="宋体" w:cs="宋体"/>
          <w:color w:val="auto"/>
          <w:sz w:val="24"/>
          <w:szCs w:val="24"/>
          <w:highlight w:val="none"/>
          <w:lang w:val="zh-TW"/>
        </w:rPr>
        <w:t xml:space="preserve">门。</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 xml:space="preserve">(7)教学能力提升模块包含</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rPr>
        <w:t xml:space="preserve">教学设计、教学方法与策略、教学基本技能等，课程数量不少于</w:t>
      </w:r>
      <w:r>
        <w:rPr>
          <w:rFonts w:hint="eastAsia" w:ascii="宋体" w:hAnsi="宋体" w:eastAsia="宋体" w:cs="宋体"/>
          <w:color w:val="auto"/>
          <w:sz w:val="24"/>
          <w:szCs w:val="24"/>
          <w:highlight w:val="none"/>
        </w:rPr>
        <w:t xml:space="preserve">60</w:t>
      </w:r>
      <w:r>
        <w:rPr>
          <w:rFonts w:hint="eastAsia" w:ascii="宋体" w:hAnsi="宋体" w:eastAsia="宋体" w:cs="宋体"/>
          <w:color w:val="auto"/>
          <w:sz w:val="24"/>
          <w:szCs w:val="24"/>
          <w:highlight w:val="none"/>
          <w:lang w:val="zh-TW"/>
        </w:rPr>
        <w:t xml:space="preserve">门。</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 xml:space="preserve">(8)课程模块还包括</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rPr>
        <w:t xml:space="preserve">信息技术应用、教师职业生涯规划、教学科研与论文写作、教师身心健康、示范课等。</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支持移动端查看在线课程，支持独立移动端客户端，支持安卓、ios及鸿蒙系统。“在线课程”中展示1000+门在线课程列表，显示不同课程分类，查看课程学时学分，一键加入报名；并且支持报名直播讲堂，时长为1小时的直播讲堂，加入直播讲堂，观看每期直播，评论区发表留言，可支持回看，查看往期直播列表。</w:t>
      </w:r>
      <w:r/>
    </w:p>
    <w:p>
      <w:pPr>
        <w:pStyle w:val="981"/>
        <w:numPr>
          <w:ilvl w:val="0"/>
          <w:numId w:val="0"/>
        </w:numPr>
        <w:ind w:lef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bookmarkStart w:id="251" w:name="_Toc59086143"/>
      <w:r/>
      <w:bookmarkStart w:id="252" w:name="_Toc3385"/>
      <w:r>
        <w:rPr>
          <w:rFonts w:hint="eastAsia" w:ascii="宋体" w:hAnsi="宋体" w:eastAsia="宋体" w:cs="宋体"/>
          <w:b/>
          <w:bCs/>
          <w:color w:val="auto"/>
          <w:sz w:val="24"/>
          <w:szCs w:val="24"/>
          <w:highlight w:val="none"/>
          <w:lang w:val="en-US" w:eastAsia="zh-CN"/>
        </w:rPr>
        <w:t xml:space="preserve">（十三）一体化教学门户网站</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1.帮助</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建设个性化门户网站，展示学校精品课程，发布新闻公告，活跃班级信息、名师风采展示等，个性化导航栏可以自定义配置。</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2.PC门户配置功能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页面支持用户自定义模块布局，支持拖拽式调整同一模块内不同栏目的位置，支持用户自定义对页面背景、音乐、主题色及简体或繁体字的转换设置。每一个模块内的数据来源均支持人工培植；可以是外部数据接入，直接复用已有接口，也可以直接从数据中心抽调。</w:t>
      </w:r>
      <w:r/>
    </w:p>
    <w:p>
      <w:pPr>
        <w:pStyle w:val="981"/>
        <w:numPr>
          <w:ilvl w:val="0"/>
          <w:numId w:val="0"/>
        </w:numPr>
        <w:ind w:lef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（十四）项目实施服务需求</w:t>
      </w:r>
      <w:r/>
    </w:p>
    <w:p>
      <w:pPr>
        <w:pStyle w:val="981"/>
        <w:ind w:lef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数据集成服务</w:t>
      </w:r>
      <w:bookmarkEnd w:id="251"/>
      <w:r/>
      <w:bookmarkEnd w:id="252"/>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bookmarkStart w:id="253" w:name="_Toc27883"/>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数据接口服务</w:t>
      </w:r>
      <w:bookmarkEnd w:id="253"/>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与学校数据中台对接、维护，确保教师、学生、课程、教学安排等及时准确同步到教学平台。</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bookmarkStart w:id="254" w:name="_Toc25891"/>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统一身份认证服务</w:t>
      </w:r>
      <w:bookmarkEnd w:id="254"/>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统一身份认证集成的要求须接入学校统一身份认证系统。应承诺在维保期内免费提供不限次数的此项服务。接入统一身份认证时系统应支持 CAS或Oauth2.0（令牌模式）协议，URL跳转采用白名单放行模式。</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bookmarkStart w:id="255" w:name="_Toc30277"/>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平台数据共享服务</w:t>
      </w:r>
      <w:bookmarkEnd w:id="255"/>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平台运行产生的各种基础数据以中间库的形式提供给</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，汇入到学校公有数据池，实现数据共享。</w:t>
      </w:r>
      <w:r/>
    </w:p>
    <w:p>
      <w:pPr>
        <w:pStyle w:val="981"/>
        <w:ind w:left="0" w:firstLine="482"/>
        <w:keepLines w:val="0"/>
        <w:keepNext w:val="0"/>
        <w:pageBreakBefore w:val="0"/>
        <w:spacing w:line="360" w:lineRule="auto"/>
        <w:rPr>
          <w:rFonts w:hint="eastAsia" w:ascii="宋体" w:hAnsi="宋体" w:eastAsia="宋体" w:cs="宋体"/>
          <w:b/>
          <w:bCs/>
          <w:color w:val="auto"/>
          <w:sz w:val="24"/>
          <w:szCs w:val="24"/>
          <w:highlight w:val="none"/>
        </w:rPr>
      </w:pPr>
      <w:r/>
      <w:bookmarkStart w:id="256" w:name="_Toc4910"/>
      <w:r/>
      <w:bookmarkStart w:id="257" w:name="_Toc59086144"/>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平台服务的性能要求</w:t>
      </w:r>
      <w:bookmarkEnd w:id="256"/>
      <w:r/>
      <w:bookmarkEnd w:id="257"/>
      <w:r/>
      <w:r/>
    </w:p>
    <w:p>
      <w:pPr>
        <w:ind w:left="0" w:firstLine="482"/>
        <w:keepLines w:val="0"/>
        <w:keepNext w:val="0"/>
        <w:pageBreakBefore w:val="0"/>
        <w:spacing w:line="360" w:lineRule="auto"/>
        <w:widowControl/>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eastAsia="zh-CN"/>
        </w:rPr>
        <w:t xml:space="preserve">2.1性能要求</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（1）支持服务器云托管服务，</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无需采购服务器、存储等硬件设备</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（2）平台支持面向全校2-3万师生开放，可达到如下性能指标</w:t>
      </w:r>
      <w:bookmarkStart w:id="258" w:name="_Toc494519692"/>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7×24小时不间断运行</w:t>
      </w:r>
      <w:bookmarkEnd w:id="258"/>
      <w:r/>
      <w:bookmarkStart w:id="259" w:name="_Toc494519693"/>
      <w:r>
        <w:rPr>
          <w:rFonts w:hint="eastAsia" w:ascii="宋体" w:hAnsi="宋体" w:eastAsia="宋体" w:cs="宋体"/>
          <w:color w:val="auto"/>
          <w:sz w:val="24"/>
          <w:szCs w:val="24"/>
          <w:highlight w:val="none"/>
        </w:rPr>
        <w:t xml:space="preserve">、页面响应不高于3秒</w:t>
      </w:r>
      <w:bookmarkEnd w:id="259"/>
      <w:r/>
      <w:bookmarkStart w:id="260" w:name="_Toc494519694"/>
      <w:r>
        <w:rPr>
          <w:rFonts w:hint="eastAsia" w:ascii="宋体" w:hAnsi="宋体" w:eastAsia="宋体" w:cs="宋体"/>
          <w:color w:val="auto"/>
          <w:sz w:val="24"/>
          <w:szCs w:val="24"/>
          <w:highlight w:val="none"/>
        </w:rPr>
        <w:t xml:space="preserve">、检索响应不高于3秒</w:t>
      </w:r>
      <w:bookmarkEnd w:id="260"/>
      <w:r/>
      <w:bookmarkStart w:id="261" w:name="_Toc494519695"/>
      <w:r>
        <w:rPr>
          <w:rFonts w:hint="eastAsia" w:ascii="宋体" w:hAnsi="宋体" w:eastAsia="宋体" w:cs="宋体"/>
          <w:color w:val="auto"/>
          <w:sz w:val="24"/>
          <w:szCs w:val="24"/>
          <w:highlight w:val="none"/>
        </w:rPr>
        <w:t xml:space="preserve">、视频点播响应不高于10秒</w:t>
      </w:r>
      <w:bookmarkEnd w:id="261"/>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（3）平台存储自动扩容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承诺为每位教师提供不少于50G的存储空间，当使用存储达到一定比例后，可自动整体扩容，保证空间充足</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（4）平台带宽弹性扩容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可提供5G共享带宽，当并发量达到一定程度后，可弹性扩容，保证运行的流畅性。</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bookmarkStart w:id="262" w:name="_Toc7648"/>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无限使用服务</w:t>
      </w:r>
      <w:bookmarkEnd w:id="262"/>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服务期内不受使用人数、建课数量及服务器空间的限制。</w:t>
      </w:r>
      <w:r/>
    </w:p>
    <w:p>
      <w:pPr>
        <w:ind w:left="0" w:firstLine="48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2.2</w:t>
      </w:r>
      <w:r>
        <w:rPr>
          <w:rFonts w:hint="eastAsia" w:ascii="宋体" w:hAnsi="宋体" w:eastAsia="宋体" w:cs="宋体"/>
          <w:b/>
          <w:bCs/>
          <w:color w:val="auto"/>
          <w:sz w:val="24"/>
          <w:szCs w:val="24"/>
          <w:highlight w:val="none"/>
        </w:rPr>
        <w:t xml:space="preserve">运维服务的时效要求</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对平台产生的不同程度的问题，进行及时响应并解决问题。</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（1）一级问题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系统无法运作，而且没有任何暂时性的解决方案；或者虽有暂时性的解决方案，但影响到使用者正常使用；或系统可以运作，但存在信息安全问题或信息丢失。</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需承诺的服务方案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 小时内做出响应、2 小时内与客户讨论解决方案、3小时内提供现场技术支持、8小时内解决问题。</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（2）二级问题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系统可以运作，但功能已受到严重影响；系统性能受到严重影响或出现其它未知异常现象；大规模范围出现使用者使用速度明显偏慢。</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需承诺的服务方案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4小时内做出响应、12小时内与客户讨论解决方案、24小时内提供现场技术支持、48小时内解决问题。</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（3）三级问题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系统可以运作，但出现小范围的功能问题或者性能问题，采取修改配置等措施后仍无法正常运转。</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需承诺的服务方案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8小时内做出响应、48 小时内提供现场技术支持、72小时内解决问题。</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（4）四级问题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客户有问题询问或是功能方面的加强。</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需承诺的服务方案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48小时内做出响应、72小时内解决问题、问题解决后知会有关部门。</w:t>
      </w:r>
      <w:r/>
    </w:p>
    <w:p>
      <w:pPr>
        <w:pStyle w:val="981"/>
        <w:ind w:left="0" w:firstLine="482"/>
        <w:keepLines w:val="0"/>
        <w:keepNext w:val="0"/>
        <w:pageBreakBefore w:val="0"/>
        <w:spacing w:line="360" w:lineRule="auto"/>
        <w:rPr>
          <w:rFonts w:hint="eastAsia" w:ascii="宋体" w:hAnsi="宋体" w:eastAsia="宋体" w:cs="宋体"/>
          <w:b/>
          <w:bCs/>
          <w:color w:val="auto"/>
          <w:sz w:val="24"/>
          <w:szCs w:val="24"/>
          <w:highlight w:val="none"/>
        </w:rPr>
      </w:pPr>
      <w:r/>
      <w:bookmarkStart w:id="263" w:name="_Toc59086145"/>
      <w:r/>
      <w:bookmarkStart w:id="264" w:name="_Toc4433"/>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平台培训答疑服务</w:t>
      </w:r>
      <w:bookmarkEnd w:id="263"/>
      <w:r/>
      <w:bookmarkEnd w:id="264"/>
      <w:r/>
      <w:r/>
    </w:p>
    <w:p>
      <w:pPr>
        <w:ind w:left="0" w:firstLine="482"/>
        <w:keepLines w:val="0"/>
        <w:keepNext w:val="0"/>
        <w:pageBreakBefore w:val="0"/>
        <w:spacing w:line="360" w:lineRule="auto"/>
        <w:widowControl/>
        <w:rPr>
          <w:rFonts w:hint="eastAsia" w:ascii="宋体" w:hAnsi="宋体" w:eastAsia="宋体" w:cs="宋体"/>
          <w:b/>
          <w:bCs/>
          <w:color w:val="auto"/>
          <w:sz w:val="24"/>
          <w:szCs w:val="24"/>
          <w:highlight w:val="none"/>
        </w:rPr>
      </w:pPr>
      <w:r/>
      <w:bookmarkStart w:id="265" w:name="_Toc30821"/>
      <w:r>
        <w:rPr>
          <w:rFonts w:hint="eastAsia" w:ascii="宋体" w:hAnsi="宋体" w:eastAsia="宋体" w:cs="宋体"/>
          <w:b/>
          <w:bCs/>
          <w:color w:val="auto"/>
          <w:sz w:val="24"/>
          <w:szCs w:val="24"/>
          <w:highlight w:val="none"/>
          <w:lang w:val="en-US" w:eastAsia="zh-CN"/>
        </w:rPr>
        <w:t xml:space="preserve">3.1</w:t>
      </w:r>
      <w:r>
        <w:rPr>
          <w:rFonts w:hint="eastAsia" w:ascii="宋体" w:hAnsi="宋体" w:eastAsia="宋体" w:cs="宋体"/>
          <w:b/>
          <w:bCs/>
          <w:color w:val="auto"/>
          <w:sz w:val="24"/>
          <w:szCs w:val="24"/>
          <w:highlight w:val="none"/>
        </w:rPr>
        <w:t xml:space="preserve">培训资料</w:t>
      </w:r>
      <w:bookmarkEnd w:id="265"/>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（1）提供不同角色使用者的使用手册，包含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管理员使用手册、教师使用手册、学生使用手册等。</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（2）针对不同使用者录制使用帮助微视频，方便使用者学习使用。</w:t>
      </w:r>
      <w:r/>
    </w:p>
    <w:p>
      <w:pPr>
        <w:ind w:left="0" w:firstLine="482"/>
        <w:keepLines w:val="0"/>
        <w:keepNext w:val="0"/>
        <w:pageBreakBefore w:val="0"/>
        <w:spacing w:line="360" w:lineRule="auto"/>
        <w:widowControl/>
        <w:rPr>
          <w:rFonts w:hint="eastAsia" w:ascii="宋体" w:hAnsi="宋体" w:eastAsia="宋体" w:cs="宋体"/>
          <w:b/>
          <w:bCs/>
          <w:color w:val="auto"/>
          <w:sz w:val="24"/>
          <w:szCs w:val="24"/>
          <w:highlight w:val="none"/>
        </w:rPr>
      </w:pPr>
      <w:r/>
      <w:bookmarkStart w:id="266" w:name="_Toc27589"/>
      <w:r>
        <w:rPr>
          <w:rFonts w:hint="eastAsia" w:ascii="宋体" w:hAnsi="宋体" w:eastAsia="宋体" w:cs="宋体"/>
          <w:b/>
          <w:bCs/>
          <w:color w:val="auto"/>
          <w:sz w:val="24"/>
          <w:szCs w:val="24"/>
          <w:highlight w:val="none"/>
          <w:lang w:val="en-US" w:eastAsia="zh-CN"/>
        </w:rPr>
        <w:t xml:space="preserve">3.2</w:t>
      </w:r>
      <w:r>
        <w:rPr>
          <w:rFonts w:hint="eastAsia" w:ascii="宋体" w:hAnsi="宋体" w:eastAsia="宋体" w:cs="宋体"/>
          <w:b/>
          <w:bCs/>
          <w:color w:val="auto"/>
          <w:sz w:val="24"/>
          <w:szCs w:val="24"/>
          <w:highlight w:val="none"/>
        </w:rPr>
        <w:t xml:space="preserve">培训服务</w:t>
      </w:r>
      <w:bookmarkEnd w:id="266"/>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bookmarkStart w:id="267" w:name="_Toc22079"/>
      <w:r>
        <w:rPr>
          <w:rFonts w:hint="eastAsia" w:ascii="宋体" w:hAnsi="宋体" w:eastAsia="宋体" w:cs="宋体"/>
          <w:color w:val="auto"/>
          <w:sz w:val="24"/>
          <w:szCs w:val="24"/>
          <w:highlight w:val="none"/>
          <w:lang w:val="en-US" w:eastAsia="zh-CN"/>
        </w:rPr>
        <w:t xml:space="preserve">分别提供针对平台管理员、教师和学生等角色的专门培训服务，培训时间、时长及场次以采购人需要为准。每学年开展校级培训不少于两场次，并下沉至各二级教学院部开展培训不少于一场次，并根据采购人教学改革需求、课程建设及运行需求协助采购人邀请专家培训讲座。</w:t>
      </w:r>
      <w:r/>
    </w:p>
    <w:p>
      <w:pPr>
        <w:ind w:left="0"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3.3</w:t>
      </w:r>
      <w:r>
        <w:rPr>
          <w:rFonts w:hint="eastAsia" w:ascii="宋体" w:hAnsi="宋体" w:eastAsia="宋体" w:cs="宋体"/>
          <w:b/>
          <w:bCs/>
          <w:color w:val="auto"/>
          <w:sz w:val="24"/>
          <w:szCs w:val="24"/>
          <w:highlight w:val="none"/>
        </w:rPr>
        <w:t xml:space="preserve">答疑服务</w:t>
      </w:r>
      <w:bookmarkEnd w:id="267"/>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需要提供现场答疑、电话答疑、在线客服、本地客服等形式的答疑服务。具体响应时间要求如下</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（1）现场答疑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需求，提供5*12小时驻场服务，随时解答师生使用过程出现的问题。</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（2）上门答疑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教师提出需求后，在1小时内提供上门答疑，针对使用者的使用问题进行解答，不限时长，以全部问题解决为准。</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（3）电话答疑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提供服务人员的电话，使用者有问题时可拨打电话，随时进行沟通，工作日要求8:00-22:00，非工作日要求8:00-20:00。</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（4）在线客服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平台提供在线客服入口，提供7*24小时的在线咨询服务。</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（5）本地客服</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须提供不少于5人的本地客服团队，专门维护学校的用户群，提供咨询服务。</w:t>
      </w:r>
      <w:r/>
    </w:p>
    <w:p>
      <w:pPr>
        <w:pStyle w:val="981"/>
        <w:ind w:left="0" w:firstLine="482"/>
        <w:keepLines w:val="0"/>
        <w:keepNext w:val="0"/>
        <w:pageBreakBefore w:val="0"/>
        <w:spacing w:line="360" w:lineRule="auto"/>
        <w:rPr>
          <w:rFonts w:hint="eastAsia" w:ascii="宋体" w:hAnsi="宋体" w:eastAsia="宋体" w:cs="宋体"/>
          <w:b/>
          <w:bCs/>
          <w:color w:val="auto"/>
          <w:sz w:val="24"/>
          <w:szCs w:val="24"/>
          <w:highlight w:val="none"/>
        </w:rPr>
      </w:pPr>
      <w:r/>
      <w:bookmarkStart w:id="268" w:name="_Toc59086146"/>
      <w:r/>
      <w:bookmarkStart w:id="269" w:name="_Toc19891"/>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网络安全及其他服务需求</w:t>
      </w:r>
      <w:bookmarkEnd w:id="268"/>
      <w:r/>
      <w:bookmarkEnd w:id="269"/>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bookmarkStart w:id="270" w:name="_Toc29852"/>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★资源版权归属要求</w:t>
      </w:r>
      <w:bookmarkEnd w:id="270"/>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平台在使用的过程中，会产生各种教学相关数据，包括</w:t>
      </w:r>
      <w:r>
        <w:rPr>
          <w:rFonts w:hint="eastAsia" w:ascii="宋体" w:hAnsi="宋体" w:eastAsia="宋体" w:cs="宋体"/>
          <w:b/>
          <w:bCs/>
          <w:color w:val="auto"/>
          <w:sz w:val="24"/>
          <w:szCs w:val="24"/>
          <w:highlight w:val="none"/>
          <w:lang w:eastAsia="zh-CN"/>
        </w:rPr>
        <w:t xml:space="preserve">采购人</w:t>
      </w:r>
      <w:r>
        <w:rPr>
          <w:rFonts w:hint="eastAsia" w:ascii="宋体" w:hAnsi="宋体" w:eastAsia="宋体" w:cs="宋体"/>
          <w:b/>
          <w:bCs/>
          <w:color w:val="auto"/>
          <w:sz w:val="24"/>
          <w:szCs w:val="24"/>
          <w:highlight w:val="none"/>
        </w:rPr>
        <w:t xml:space="preserve">自己的课程资源，师生信息，教学数据等，都归</w:t>
      </w:r>
      <w:r>
        <w:rPr>
          <w:rFonts w:hint="eastAsia" w:ascii="宋体" w:hAnsi="宋体" w:eastAsia="宋体" w:cs="宋体"/>
          <w:b/>
          <w:bCs/>
          <w:color w:val="auto"/>
          <w:sz w:val="24"/>
          <w:szCs w:val="24"/>
          <w:highlight w:val="none"/>
          <w:lang w:eastAsia="zh-CN"/>
        </w:rPr>
        <w:t xml:space="preserve">采购人</w:t>
      </w:r>
      <w:r>
        <w:rPr>
          <w:rFonts w:hint="eastAsia" w:ascii="宋体" w:hAnsi="宋体" w:eastAsia="宋体" w:cs="宋体"/>
          <w:b/>
          <w:bCs/>
          <w:color w:val="auto"/>
          <w:sz w:val="24"/>
          <w:szCs w:val="24"/>
          <w:highlight w:val="none"/>
        </w:rPr>
        <w:t xml:space="preserve">所有，未经</w:t>
      </w:r>
      <w:r>
        <w:rPr>
          <w:rFonts w:hint="eastAsia" w:ascii="宋体" w:hAnsi="宋体" w:eastAsia="宋体" w:cs="宋体"/>
          <w:b/>
          <w:bCs/>
          <w:color w:val="auto"/>
          <w:sz w:val="24"/>
          <w:szCs w:val="24"/>
          <w:highlight w:val="none"/>
          <w:lang w:eastAsia="zh-CN"/>
        </w:rPr>
        <w:t xml:space="preserve">采购人</w:t>
      </w:r>
      <w:r>
        <w:rPr>
          <w:rFonts w:hint="eastAsia" w:ascii="宋体" w:hAnsi="宋体" w:eastAsia="宋体" w:cs="宋体"/>
          <w:b/>
          <w:bCs/>
          <w:color w:val="auto"/>
          <w:sz w:val="24"/>
          <w:szCs w:val="24"/>
          <w:highlight w:val="none"/>
        </w:rPr>
        <w:t xml:space="preserve">授权，不得对外发布或使用。</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须就此</w:t>
      </w:r>
      <w:r>
        <w:rPr>
          <w:rFonts w:hint="eastAsia" w:ascii="宋体" w:hAnsi="宋体" w:eastAsia="宋体" w:cs="宋体"/>
          <w:b/>
          <w:bCs/>
          <w:color w:val="auto"/>
          <w:sz w:val="24"/>
          <w:szCs w:val="24"/>
          <w:highlight w:val="none"/>
          <w:lang w:val="en-US" w:eastAsia="zh-CN"/>
        </w:rPr>
        <w:t xml:space="preserve">提供</w:t>
      </w:r>
      <w:r>
        <w:rPr>
          <w:rFonts w:hint="eastAsia" w:ascii="宋体" w:hAnsi="宋体" w:eastAsia="宋体" w:cs="宋体"/>
          <w:b/>
          <w:bCs/>
          <w:color w:val="auto"/>
          <w:sz w:val="24"/>
          <w:szCs w:val="24"/>
          <w:highlight w:val="none"/>
        </w:rPr>
        <w:t xml:space="preserve">加盖</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公章的</w:t>
      </w:r>
      <w:r>
        <w:rPr>
          <w:rFonts w:hint="eastAsia" w:ascii="宋体" w:hAnsi="宋体" w:eastAsia="宋体" w:cs="宋体"/>
          <w:b/>
          <w:bCs/>
          <w:color w:val="auto"/>
          <w:sz w:val="24"/>
          <w:szCs w:val="24"/>
          <w:highlight w:val="none"/>
          <w:lang w:eastAsia="zh-CN"/>
        </w:rPr>
        <w:t xml:space="preserve">承诺函（格式自拟）</w:t>
      </w:r>
      <w:r>
        <w:rPr>
          <w:rFonts w:hint="eastAsia" w:ascii="宋体" w:hAnsi="宋体" w:eastAsia="宋体" w:cs="宋体"/>
          <w:b/>
          <w:color w:val="auto"/>
          <w:sz w:val="24"/>
          <w:szCs w:val="24"/>
          <w:highlight w:val="none"/>
        </w:rPr>
        <w:t xml:space="preserve">。</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bookmarkStart w:id="271" w:name="_Toc11371"/>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敏感信息采集要求</w:t>
      </w:r>
      <w:bookmarkEnd w:id="271"/>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除个别非在校学生使用平台自有登录入口，可提供由使用者自行选择的通过手机短信密码和邮箱找回密码的方式外，学校认证使用学校统一身份认证服务接入，平台不得自行采集使用者身份证号、家庭住址等个人敏感信息。</w:t>
      </w:r>
      <w:r/>
    </w:p>
    <w:p>
      <w:pPr>
        <w:ind w:left="0" w:firstLine="480"/>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其他</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1）在系统搭建、运维过程中，</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需要遵守采购人数据安全规定，保障采购人数据安全和数据隐私，由于</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系统漏洞、技术问题、</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员工蓄意破坏、疏忽值守、操作不当等原因，造成采购人数据损坏或者泄露的，</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应当承担相应的法律责任。</w:t>
      </w:r>
      <w:r/>
    </w:p>
    <w:p>
      <w:pPr>
        <w:ind w:left="0" w:firstLine="480"/>
        <w:keepLines w:val="0"/>
        <w:keepNext w:val="0"/>
        <w:pageBreakBefore w:val="0"/>
        <w:spacing w:line="360" w:lineRule="auto"/>
        <w:widowControl/>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2）系统初始密码不可以为弱密码，用户初次登陆必须要求用户修改密码后方可登陆。</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）系统软件使用过程中，检查出系统存在的安全漏洞，</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需要提供免费修复服务。</w:t>
      </w:r>
      <w:r/>
    </w:p>
    <w:p>
      <w:pPr>
        <w:pStyle w:val="981"/>
        <w:numPr>
          <w:ilvl w:val="0"/>
          <w:numId w:val="0"/>
        </w:numPr>
        <w:ind w:lef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bookmarkStart w:id="272" w:name="_Toc59086148"/>
      <w:r/>
      <w:bookmarkStart w:id="273" w:name="_Toc21548"/>
      <w:r>
        <w:rPr>
          <w:rFonts w:hint="eastAsia" w:ascii="宋体" w:hAnsi="宋体" w:eastAsia="宋体" w:cs="宋体"/>
          <w:b/>
          <w:bCs/>
          <w:color w:val="auto"/>
          <w:sz w:val="24"/>
          <w:szCs w:val="24"/>
          <w:highlight w:val="none"/>
          <w:lang w:val="en-US" w:eastAsia="zh-CN"/>
        </w:rPr>
        <w:t xml:space="preserve">（十五）云平台知识产权承诺</w:t>
      </w:r>
      <w:bookmarkEnd w:id="272"/>
      <w:r/>
      <w:bookmarkEnd w:id="273"/>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承诺</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对其提供教学服务平台软件产品和服务的合法性负责，保证其对提供的软件产品拥有合法的使用权，保证采购人在使用时无需再行获得第三方的许可，无需向第三方支付任何报酬或费用。如因</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提供的软件产品或服务的知识产权引起与第三方的纠纷，由</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负责处理，并承担全部法律责任。</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须就此</w:t>
      </w:r>
      <w:r>
        <w:rPr>
          <w:rFonts w:hint="eastAsia" w:ascii="宋体" w:hAnsi="宋体" w:eastAsia="宋体" w:cs="宋体"/>
          <w:b/>
          <w:bCs/>
          <w:color w:val="auto"/>
          <w:sz w:val="24"/>
          <w:szCs w:val="24"/>
          <w:highlight w:val="none"/>
          <w:lang w:val="en-US" w:eastAsia="zh-CN"/>
        </w:rPr>
        <w:t xml:space="preserve">提供</w:t>
      </w:r>
      <w:r>
        <w:rPr>
          <w:rFonts w:hint="eastAsia" w:ascii="宋体" w:hAnsi="宋体" w:eastAsia="宋体" w:cs="宋体"/>
          <w:b/>
          <w:bCs/>
          <w:color w:val="auto"/>
          <w:sz w:val="24"/>
          <w:szCs w:val="24"/>
          <w:highlight w:val="none"/>
        </w:rPr>
        <w:t xml:space="preserve">加盖</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公章的</w:t>
      </w:r>
      <w:r>
        <w:rPr>
          <w:rFonts w:hint="eastAsia" w:ascii="宋体" w:hAnsi="宋体" w:eastAsia="宋体" w:cs="宋体"/>
          <w:b/>
          <w:bCs/>
          <w:color w:val="auto"/>
          <w:sz w:val="24"/>
          <w:szCs w:val="24"/>
          <w:highlight w:val="none"/>
          <w:lang w:eastAsia="zh-CN"/>
        </w:rPr>
        <w:t xml:space="preserve">承诺函（格式自拟）</w:t>
      </w:r>
      <w:r>
        <w:rPr>
          <w:rFonts w:hint="eastAsia" w:ascii="宋体" w:hAnsi="宋体" w:eastAsia="宋体" w:cs="宋体"/>
          <w:b/>
          <w:color w:val="auto"/>
          <w:sz w:val="24"/>
          <w:szCs w:val="24"/>
          <w:highlight w:val="none"/>
        </w:rPr>
        <w:t xml:space="preserve">。</w:t>
      </w:r>
      <w:r/>
    </w:p>
    <w:p>
      <w:pPr>
        <w:pStyle w:val="981"/>
        <w:numPr>
          <w:ilvl w:val="0"/>
          <w:numId w:val="0"/>
        </w:numPr>
        <w:ind w:lef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bookmarkStart w:id="274" w:name="_Toc59086149"/>
      <w:r>
        <w:rPr>
          <w:rFonts w:hint="eastAsia" w:ascii="宋体" w:hAnsi="宋体" w:eastAsia="宋体" w:cs="宋体"/>
          <w:b/>
          <w:bCs/>
          <w:color w:val="auto"/>
          <w:sz w:val="24"/>
          <w:szCs w:val="24"/>
          <w:highlight w:val="none"/>
          <w:lang w:val="en-US" w:eastAsia="zh-CN"/>
        </w:rPr>
        <w:t xml:space="preserve">（十六）</w:t>
      </w:r>
      <w:bookmarkEnd w:id="274"/>
      <w:r>
        <w:rPr>
          <w:rFonts w:hint="eastAsia" w:ascii="宋体" w:hAnsi="宋体" w:eastAsia="宋体" w:cs="宋体"/>
          <w:b/>
          <w:bCs/>
          <w:color w:val="auto"/>
          <w:sz w:val="24"/>
          <w:szCs w:val="24"/>
          <w:highlight w:val="none"/>
          <w:lang w:val="en-US" w:eastAsia="zh-CN"/>
        </w:rPr>
        <w:t xml:space="preserve">验收及考核标准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所提供的服务必须符</w:t>
      </w:r>
      <w:r>
        <w:rPr>
          <w:rFonts w:hint="eastAsia" w:ascii="宋体" w:hAnsi="宋体" w:eastAsia="宋体" w:cs="宋体"/>
          <w:color w:val="auto"/>
          <w:sz w:val="24"/>
          <w:szCs w:val="24"/>
          <w:highlight w:val="none"/>
          <w:u w:val="none"/>
        </w:rPr>
        <w:t xml:space="preserve">合</w:t>
      </w:r>
      <w:r>
        <w:rPr>
          <w:rFonts w:hint="eastAsia" w:ascii="宋体" w:hAnsi="宋体" w:eastAsia="宋体" w:cs="宋体"/>
          <w:color w:val="auto"/>
          <w:sz w:val="24"/>
          <w:szCs w:val="24"/>
          <w:highlight w:val="none"/>
          <w:u w:val="none"/>
          <w:lang w:val="en-US" w:eastAsia="zh-CN"/>
        </w:rPr>
        <w:t xml:space="preserve">国家、行业标准及</w:t>
      </w:r>
      <w:r>
        <w:rPr>
          <w:rFonts w:hint="eastAsia" w:ascii="宋体" w:hAnsi="宋体" w:eastAsia="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（含技术说明）和</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文件的要求。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val="en-US" w:eastAsia="zh-CN"/>
        </w:rPr>
        <w:t xml:space="preserve">验收时间和地点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（1）平台开通实施:由中标单位提出验收申请；</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none"/>
          <w:lang w:val="en-US"/>
        </w:rPr>
      </w:pPr>
      <w:r>
        <w:rPr>
          <w:rFonts w:hint="eastAsia" w:ascii="宋体" w:hAnsi="宋体" w:eastAsia="宋体" w:cs="宋体"/>
          <w:color w:val="auto"/>
          <w:sz w:val="24"/>
          <w:szCs w:val="24"/>
          <w:highlight w:val="none"/>
          <w:u w:val="none"/>
          <w:lang w:val="en-US" w:eastAsia="zh-CN"/>
        </w:rPr>
        <w:t xml:space="preserve">（2）年度服务考核:每年下半年；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（3）地点:常州机电职业技术学院。</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2.验收方法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（1）平台开通实施:需对照“平台开通实施验收表”服务内容</w:t>
      </w:r>
      <w:r>
        <w:rPr>
          <w:rFonts w:hint="eastAsia" w:ascii="宋体" w:hAnsi="宋体" w:eastAsia="宋体" w:cs="宋体"/>
          <w:b w:val="0"/>
          <w:bCs w:val="0"/>
          <w:color w:val="auto"/>
          <w:sz w:val="24"/>
          <w:szCs w:val="24"/>
          <w:highlight w:val="none"/>
          <w:u w:val="none"/>
          <w:lang w:val="en-US" w:eastAsia="zh-CN"/>
        </w:rPr>
        <w:t xml:space="preserve">逐条演示</w:t>
      </w:r>
      <w:r>
        <w:rPr>
          <w:rFonts w:hint="eastAsia" w:ascii="宋体" w:hAnsi="宋体" w:eastAsia="宋体" w:cs="宋体"/>
          <w:color w:val="auto"/>
          <w:sz w:val="24"/>
          <w:szCs w:val="24"/>
          <w:highlight w:val="none"/>
          <w:u w:val="none"/>
          <w:lang w:val="en-US" w:eastAsia="zh-CN"/>
        </w:rPr>
        <w:t xml:space="preserve">，由采购人组织验收。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none"/>
          <w:lang w:val="en-US"/>
        </w:rPr>
      </w:pPr>
      <w:r>
        <w:rPr>
          <w:rFonts w:hint="eastAsia" w:ascii="宋体" w:hAnsi="宋体" w:eastAsia="宋体" w:cs="宋体"/>
          <w:color w:val="auto"/>
          <w:sz w:val="24"/>
          <w:szCs w:val="24"/>
          <w:highlight w:val="none"/>
          <w:u w:val="none"/>
          <w:lang w:val="en-US" w:eastAsia="zh-CN"/>
        </w:rPr>
        <w:t xml:space="preserve">（2）年度服务考核:需对照“年度服务考核表”打分，得分8分及以上即考核合格。</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3.服务验收表</w:t>
      </w:r>
      <w:r/>
    </w:p>
    <w:p>
      <w:pPr>
        <w:pStyle w:val="981"/>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（1）平台开通实施验收表</w:t>
      </w:r>
      <w:r/>
    </w:p>
    <w:tbl>
      <w:tblPr>
        <w:tblStyle w:val="1018"/>
        <w:tblW w:w="50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5"/>
        <w:gridCol w:w="7950"/>
        <w:gridCol w:w="1078"/>
      </w:tblGrid>
      <w:tr>
        <w:trPr>
          <w:jc w:val="center"/>
          <w:trHeight w:val="618"/>
        </w:trPr>
        <w:tc>
          <w:tcPr>
            <w:tcW w:w="627" w:type="pct"/>
            <w:vAlign w:val="center"/>
            <w:textDirection w:val="lrTb"/>
            <w:noWrap w:val="false"/>
          </w:tcPr>
          <w:p>
            <w:pPr>
              <w:jc w:val="cente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服务</w:t>
            </w:r>
            <w:r>
              <w:rPr>
                <w:rFonts w:hint="eastAsia" w:ascii="宋体" w:hAnsi="宋体" w:eastAsia="宋体" w:cs="宋体"/>
                <w:b/>
                <w:color w:val="auto"/>
                <w:sz w:val="21"/>
                <w:szCs w:val="21"/>
                <w:highlight w:val="none"/>
                <w:lang w:val="en-US" w:eastAsia="zh-CN"/>
              </w:rPr>
              <w:t xml:space="preserve">名称</w:t>
            </w:r>
            <w:r/>
          </w:p>
        </w:tc>
        <w:tc>
          <w:tcPr>
            <w:tcW w:w="3850" w:type="pct"/>
            <w:vAlign w:val="center"/>
            <w:textDirection w:val="lrTb"/>
            <w:noWrap w:val="false"/>
          </w:tcPr>
          <w:p>
            <w:pPr>
              <w:jc w:val="center"/>
              <w:spacing w:line="360" w:lineRule="auto"/>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eastAsia="zh-CN"/>
              </w:rPr>
              <w:t xml:space="preserve">服务内容</w:t>
            </w:r>
            <w:r/>
          </w:p>
        </w:tc>
        <w:tc>
          <w:tcPr>
            <w:tcW w:w="522" w:type="pct"/>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验收结果</w:t>
            </w:r>
            <w:r/>
          </w:p>
        </w:tc>
      </w:tr>
      <w:tr>
        <w:trPr>
          <w:jc w:val="center"/>
          <w:trHeight w:val="385"/>
        </w:trPr>
        <w:tc>
          <w:tcPr>
            <w:tcW w:w="6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一体化数字基座</w:t>
            </w:r>
            <w:r/>
          </w:p>
        </w:tc>
        <w:tc>
          <w:tcPr>
            <w:tcW w:w="3850" w:type="pct"/>
            <w:vAlign w:val="center"/>
            <w:textDirection w:val="lrTb"/>
            <w:noWrap w:val="false"/>
          </w:tcPr>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用户管理:支持对人员信息进行增、删、查、改操作，同时具备批量添加与修改人员信息的功能，确保操作稳定准确。要能够自定义人员角色和部门。允许单位依据自身需求添加角色，且每个角色可单独管理对应的用户。</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2.应用管理:支持学校管理员自主从应用中心添加单位应用，并为应用设置应用管理员，确保操作便捷。能够指定应用所属分类，可对分类进行编辑、删除、上/下移动操作，同时支持对应用进行跨分类拖拽排序。</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3.终端管理:支持移动端、个人空间门户网站的自定义布局。</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4.应用引擎:提供自建表单应用引擎、审批应用引擎、网页应用引擎、查询应用引擎、知识挑战引擎、资源引擎、资讯采集引擎等。</w:t>
            </w:r>
            <w:r/>
          </w:p>
          <w:p>
            <w:pPr>
              <w:pStyle w:val="1252"/>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5.业务系统配置:支持为单位不同角色配置不同的管理后台，确保各角色拥有适配的管理界面。</w:t>
            </w:r>
            <w:r/>
          </w:p>
        </w:tc>
        <w:tc>
          <w:tcPr>
            <w:tcW w:w="522" w:type="pct"/>
            <w:vAlign w:val="center"/>
            <w:textDirection w:val="lrTb"/>
            <w:noWrap w:val="false"/>
          </w:tcPr>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71"/>
        </w:trPr>
        <w:tc>
          <w:tcPr>
            <w:tcW w:w="627"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网络教学系统</w:t>
            </w:r>
            <w:r/>
          </w:p>
        </w:tc>
        <w:tc>
          <w:tcPr>
            <w:tcW w:w="3850" w:type="pct"/>
            <w:vAlign w:val="center"/>
            <w:textDirection w:val="lrTb"/>
            <w:noWrap w:val="false"/>
          </w:tcPr>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网络课程建设:课程负责人可构建慕课或个性化课程网站，发布各类信息，支持原位编辑等功能。能指派课程共建者与助教并设置权限，可上传多种资源，支持多媒体编辑器、慕课制作，还支持日志追溯、示范包建课、章节导入导出等。</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2.学习过程控制与管理:教师可对章节学习内容推送进行控制，支持任务驱动式进阶学习，能监督跟踪学习过程，含人脸识别。视频播放有防拖拽等功能，可发放证书、开启复习模式</w:t>
            </w:r>
            <w:r>
              <w:rPr>
                <w:rFonts w:hint="eastAsia" w:ascii="宋体" w:hAnsi="宋体" w:eastAsia="宋体" w:cs="宋体"/>
                <w:color w:val="auto"/>
                <w:sz w:val="21"/>
                <w:szCs w:val="21"/>
                <w:highlight w:val="none"/>
                <w:lang w:val="en-US" w:eastAsia="zh-CN" w:bidi="ar-SA"/>
              </w:rPr>
              <w:t xml:space="preserve">。</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3.教学资源管理:题库管理包括加密、题型支持、导入、分文件夹管理等功能。试卷管理有自动、手动组卷，封存、编辑、导出等操作。考试管理含时间设置、切屏监控等。</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4.学习统计功能:成绩统计可对课程各项做权重设置，统计学生成绩及排名，能导入线下成绩。作业/考试统计分析为教师提供作业和考试的各类统计分析数据，助力教师了解教学情况，调整教学策略。</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5.个人空间:课程建设等通过空间完成，教师学生空间分别包含所教所学课程。个人空间含个人云盘可上传下载文件，有小组用于交流，还具备问卷调查等。</w:t>
            </w:r>
            <w:r/>
          </w:p>
          <w:p>
            <w:pPr>
              <w:pStyle w:val="1252"/>
              <w:ind w:firstLine="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bidi="ar-SA"/>
              </w:rPr>
              <w:t xml:space="preserve">6.教学资源库建设:与网络教学平台无缝对接，方便教师教学与学生学习。资源库包含经著作权人授权的电子书，可在线阅读与文字摘录；还有名校名师的学术视频，涵盖多所知名高校课程视频及讲座，能在线播放，无版权问题。</w:t>
            </w:r>
            <w:r/>
          </w:p>
        </w:tc>
        <w:tc>
          <w:tcPr>
            <w:tcW w:w="522" w:type="pct"/>
            <w:vAlign w:val="center"/>
            <w:textDirection w:val="lrTb"/>
            <w:noWrap w:val="false"/>
          </w:tcPr>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71"/>
        </w:trPr>
        <w:tc>
          <w:tcPr>
            <w:tcW w:w="627"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课堂互动系统</w:t>
            </w:r>
            <w:r/>
          </w:p>
        </w:tc>
        <w:tc>
          <w:tcPr>
            <w:tcW w:w="3850" w:type="pct"/>
            <w:vAlign w:val="center"/>
            <w:textDirection w:val="lrTb"/>
            <w:noWrap w:val="false"/>
          </w:tcPr>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1.现场教学:支持多种资料不借助第三方软件投屏，可手机建课、录速课，能账号登录；投屏可主题讨论、章节、PPT、活动等。</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移动教学:有适配多系统的移动客户端，PC端与移动端学习进度同步；教师可发布多种课堂活动，课后生成记录；能形成交流群，支持资料云盘存储推送；学生可查作业、考试，课堂表现可积分评价；可阅读分享资源。</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3.教学平台后台管理:可管理课程、用户等，能统计教学、学习、课程等情况。</w:t>
            </w:r>
            <w:r/>
          </w:p>
        </w:tc>
        <w:tc>
          <w:tcPr>
            <w:tcW w:w="522" w:type="pct"/>
            <w:vAlign w:val="center"/>
            <w:textDirection w:val="lrTb"/>
            <w:noWrap w:val="false"/>
          </w:tcPr>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71"/>
        </w:trPr>
        <w:tc>
          <w:tcPr>
            <w:tcW w:w="627"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大数据分析系统</w:t>
            </w:r>
            <w:r/>
          </w:p>
        </w:tc>
        <w:tc>
          <w:tcPr>
            <w:tcW w:w="3850" w:type="pct"/>
            <w:vAlign w:val="center"/>
            <w:textDirection w:val="lrTb"/>
            <w:noWrap w:val="false"/>
          </w:tcPr>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PC端可视化分析系统:提供多维度数据统计，涵盖综合、基础、教师教学、学生学习及出勤分析等；自动生成教学运行报告；提供课程、学生、教师档案；支持AI数据问答、报告及报表功能，可自定义查询、生成分析报告并导出，实现高效数据管理与分析。</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移动端监控平台:支持多终端展示，可实时查看学校大数据，包括教学、学情、签到、资源及日常监控，打破时间地域限制；涵盖教学、学情、签到、资源及日常全方位监控；提供师生档案检索，查看教学与学习数据，实现移动实时监控。</w:t>
            </w:r>
            <w:r/>
          </w:p>
          <w:p>
            <w:pPr>
              <w:pStyle w:val="1252"/>
              <w:ind w:firstLine="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bidi="ar-SA"/>
              </w:rPr>
              <w:t xml:space="preserve">3.大数据展示屏:展示云平台总体情况，包括整体数据概况、课程基础数据、实时动态、师生考勤、师生活跃及资源建设数据；支持页面展示管理，可编辑布局、筛选信息；数据展示来源多样，支持编辑修正，提高展示真实效果。</w:t>
            </w:r>
            <w:r/>
          </w:p>
        </w:tc>
        <w:tc>
          <w:tcPr>
            <w:tcW w:w="522" w:type="pct"/>
            <w:vAlign w:val="center"/>
            <w:textDirection w:val="lrTb"/>
            <w:noWrap w:val="false"/>
          </w:tcPr>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71"/>
        </w:trPr>
        <w:tc>
          <w:tcPr>
            <w:tcW w:w="627"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AI教学</w:t>
            </w:r>
            <w:r/>
          </w:p>
        </w:tc>
        <w:tc>
          <w:tcPr>
            <w:tcW w:w="3850" w:type="pct"/>
            <w:vAlign w:val="center"/>
            <w:textDirection w:val="lrTb"/>
            <w:noWrap w:val="false"/>
          </w:tcPr>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任务引擎:课程任务引擎涵盖任务创建、删除、AI生成、编辑、分组、资源添加等；支持自定义任务点功能与完成条件，可进行共建克隆等操作，提供任务统计与督学功能；学生任务引擎支持学生查看任务、学习路径切换、查看证书等。</w:t>
            </w:r>
            <w:r/>
          </w:p>
          <w:p>
            <w:pPr>
              <w:pStyle w:val="1252"/>
              <w:ind w:firstLine="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bidi="ar-SA"/>
              </w:rPr>
              <w:t xml:space="preserve">2.AI工作台:涵盖AI教案生成、PPT制作、智能编写、校正、写作辅助、文档与视频解析、智能出题、口语测评、语音生成、程序题评分、公式识别、查重、OCR识别、主观题批阅、学生自测、试卷评估、AIGC检测、AI实践、文献视频理解、学情分析等多方面AI工具。</w:t>
            </w:r>
            <w:r/>
          </w:p>
        </w:tc>
        <w:tc>
          <w:tcPr>
            <w:tcW w:w="522" w:type="pct"/>
            <w:vAlign w:val="center"/>
            <w:textDirection w:val="lrTb"/>
            <w:noWrap w:val="false"/>
          </w:tcPr>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71"/>
        </w:trPr>
        <w:tc>
          <w:tcPr>
            <w:tcW w:w="627"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能力图谱</w:t>
            </w:r>
            <w:r/>
          </w:p>
        </w:tc>
        <w:tc>
          <w:tcPr>
            <w:tcW w:w="3850" w:type="pct"/>
            <w:vAlign w:val="center"/>
            <w:textDirection w:val="lrTb"/>
            <w:noWrap w:val="false"/>
          </w:tcPr>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能力图谱构建:验收要求为支持多层级架构建立子父级能力点关系；多种构建方式，包括手动、批量、智能、本地导入等；支持AI生成、自定义编辑、任意拖动等；可自由上传图标作背景，知识点显隐设置等，满足多样化构建需求。</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2.图谱管理:建立教务课程 - 知识点体系管理框架；对课程类别、性质增删改查；关联专业生成图谱；为不同课程建独立图谱；设置知识点关系、自定义关联、打标签等。</w:t>
            </w:r>
            <w:r/>
          </w:p>
          <w:p>
            <w:pPr>
              <w:pStyle w:val="1252"/>
              <w:ind w:firstLine="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bidi="ar-SA"/>
              </w:rPr>
              <w:t xml:space="preserve">3.图谱展示:具备自定义图谱功能，可自定义名称与样式；能力图谱可定制课程能力、添加标签、详细说明、修改内容、检索、关联知识点、图谱展现关联；问题图谱能定义问题。</w:t>
            </w:r>
            <w:r/>
          </w:p>
        </w:tc>
        <w:tc>
          <w:tcPr>
            <w:tcW w:w="522" w:type="pct"/>
            <w:vAlign w:val="center"/>
            <w:textDirection w:val="lrTb"/>
            <w:noWrap w:val="false"/>
          </w:tcPr>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71"/>
        </w:trPr>
        <w:tc>
          <w:tcPr>
            <w:tcW w:w="627"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智能体</w:t>
            </w:r>
            <w:r/>
          </w:p>
        </w:tc>
        <w:tc>
          <w:tcPr>
            <w:tcW w:w="3850" w:type="pct"/>
            <w:vAlign w:val="center"/>
            <w:textDirection w:val="lrTb"/>
            <w:noWrap w:val="false"/>
          </w:tcPr>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1.通用大语言模型对接:支持按学校需求对接通用大语言模型，涵盖自有模型及 Kimi、豆包、文心一言、deepseek 等多个常见大模型，满足学校多样化模型接入需求。</w:t>
            </w:r>
            <w:r/>
          </w:p>
          <w:p>
            <w:pPr>
              <w:pStyle w:val="1252"/>
              <w:ind w:firstLine="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bidi="ar-SA"/>
              </w:rPr>
              <w:t xml:space="preserve">2.课程专属智能体训练:知识库建设方面，支持多种资源上传训练，可查看状态、来源等，能自定义分类与批量操作文件。AI问答库支持问答规则多种操作，答案形式多样，可解析上传文档。任务流智能体可低代码搭建。</w:t>
            </w:r>
            <w:r/>
          </w:p>
        </w:tc>
        <w:tc>
          <w:tcPr>
            <w:tcW w:w="522" w:type="pct"/>
            <w:vAlign w:val="center"/>
            <w:textDirection w:val="lrTb"/>
            <w:noWrap w:val="false"/>
          </w:tcPr>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71"/>
        </w:trPr>
        <w:tc>
          <w:tcPr>
            <w:tcW w:w="627"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校本数字教材平台</w:t>
            </w:r>
            <w:r/>
          </w:p>
        </w:tc>
        <w:tc>
          <w:tcPr>
            <w:tcW w:w="3850" w:type="pct"/>
            <w:vAlign w:val="center"/>
            <w:textDirection w:val="lrTb"/>
            <w:noWrap w:val="false"/>
          </w:tcPr>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1.数字教材展示平台:支持分板块展示教材分类及封面等信息，可个性化定制页面美工；教材门户能查看版权等内容，在线预览资源；可查看建设情况；展示编写团队；提供编写与管理快捷入口。</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2.数字教材编辑系统:支持自主创建教材并填写信息，可创建多本与删除；能自主申请出版；可管理编写团队；提供编辑器，支持目录与文档结构管理。</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3.数字教材教学应用系统:满足多终端适配，支持多种教学模式；提供丰富教材供选择；支持两种采购模式；学生可自学或跟班学习。</w:t>
            </w:r>
            <w:r/>
          </w:p>
          <w:p>
            <w:pPr>
              <w:pStyle w:val="1252"/>
              <w:ind w:firstLine="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bidi="ar-SA"/>
              </w:rPr>
              <w:t xml:space="preserve">4.数字教材后台管理系统:管理员可进行教材上下架、单本或批量发布，编辑版权信息，设置付费免费；可查看资源统计与详情、引用数据；支持角色设置与权限分配；能管理用户账号，移出或添加用户；支持用户多角色叠加切换。</w:t>
            </w:r>
            <w:r/>
          </w:p>
        </w:tc>
        <w:tc>
          <w:tcPr>
            <w:tcW w:w="522" w:type="pct"/>
            <w:vAlign w:val="center"/>
            <w:textDirection w:val="lrTb"/>
            <w:noWrap w:val="false"/>
          </w:tcPr>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71"/>
        </w:trPr>
        <w:tc>
          <w:tcPr>
            <w:tcW w:w="627"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虚拟教研室平台</w:t>
            </w:r>
            <w:r/>
          </w:p>
        </w:tc>
        <w:tc>
          <w:tcPr>
            <w:tcW w:w="3850" w:type="pct"/>
            <w:vAlign w:val="center"/>
            <w:textDirection w:val="lrTb"/>
            <w:noWrap w:val="false"/>
          </w:tcPr>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1.教研组管理:支持教务处管理员、教研室成员与主任等不同身份，各有职责。可进行教研室信息管理，如创建名称、编辑介绍等。</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2.教研组基础信息管理:教研室主任能查阅编辑封面与文本介绍，可设置是否展示于广场，方便成员加入。负责人享有模块设置编辑权，能调整首页布局、导航栏顺序，满足多样展示需求。</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3.教研组活动:涵盖一站式教研活动管理，业务流程一体化，从发布到成果统计都有涉及。活动失信有管理设置，报名审核灵活，签到形式多样，还支持自研会议系统。</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4.教研成果共建:支持教研室成员上传、查看、编辑专利、课程等内容文件，可修改删除、调整文件夹名称并分配权限。</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5.资源共建共享:共建资源模块涵盖电子教材、会议记录、教学视频等；共建课程模块支持教师团队编辑课程、共建资料库；共建题库模块支持习题共享共建、分类管理与检索。</w:t>
            </w:r>
            <w:r/>
          </w:p>
          <w:p>
            <w:pPr>
              <w:pStyle w:val="1252"/>
              <w:ind w:firstLine="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bidi="ar-SA"/>
              </w:rPr>
              <w:t xml:space="preserve">6.数据统计:教研室总览统计全校虚拟教研室总数、成员总数、教研活动次数等，全面了解教研室整体情况。</w:t>
            </w:r>
            <w:r/>
          </w:p>
        </w:tc>
        <w:tc>
          <w:tcPr>
            <w:tcW w:w="522" w:type="pct"/>
            <w:vAlign w:val="center"/>
            <w:textDirection w:val="lrTb"/>
            <w:noWrap w:val="false"/>
          </w:tcPr>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71"/>
        </w:trPr>
        <w:tc>
          <w:tcPr>
            <w:tcW w:w="627"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校级竞赛管理系统</w:t>
            </w:r>
            <w:r/>
          </w:p>
        </w:tc>
        <w:tc>
          <w:tcPr>
            <w:tcW w:w="3850" w:type="pct"/>
            <w:vAlign w:val="center"/>
            <w:textDirection w:val="lrTb"/>
            <w:noWrap w:val="false"/>
          </w:tcPr>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1.角色管理:支持竞赛人员管理，可按大赛要求设不同角色与权限。能自定义报名及个人资料字段，支持再次编辑。可管理作品，暂存编辑，还能查看资料视频，评审专家有专属页面。</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2.竞赛管理:可发布多个校级竞赛并灵活设置。支持制作大赛规则，限制报名对象等。能设置作品审核、下载等。可灵活配置不同界面模块内容，对管理模块功能字段设置，还能按赛事要求进行权限设置。</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3.竞赛报名管理:参赛人员可在线报名提交信息。管理人员能在后台对参赛人员信息进行查看、删除、导出等操作，还能按选手查询筛选，查看报名详情，勾选显示字段，下载导出报名信息。</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4.评审专家管理:支持从专家库勾选、批量导入添加评审专家，可自定义设置专家组。</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5.作品评审:支持手动、随机分配评审作品，可设随机分配规则，自定义评审指标，选择评审方式，查看评审进度。专家个人中心可查看作品详情、打分、填意见，还支持赛序抽签功能。</w:t>
            </w:r>
            <w:r/>
          </w:p>
          <w:p>
            <w:pPr>
              <w:pStyle w:val="1252"/>
              <w:ind w:firstLine="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bidi="ar-SA"/>
              </w:rPr>
              <w:t xml:space="preserve">6.作品评审结果:支持查看作品评审各项得分及实际得分，添加获奖等级。</w:t>
            </w:r>
            <w:r/>
          </w:p>
        </w:tc>
        <w:tc>
          <w:tcPr>
            <w:tcW w:w="522" w:type="pct"/>
            <w:vAlign w:val="center"/>
            <w:textDirection w:val="lrTb"/>
            <w:noWrap w:val="false"/>
          </w:tcPr>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71"/>
        </w:trPr>
        <w:tc>
          <w:tcPr>
            <w:tcW w:w="627"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教师教学能力提升课程资源</w:t>
            </w:r>
            <w:r/>
          </w:p>
        </w:tc>
        <w:tc>
          <w:tcPr>
            <w:tcW w:w="3850" w:type="pct"/>
            <w:vAlign w:val="center"/>
            <w:textDirection w:val="lrTb"/>
            <w:noWrap w:val="false"/>
          </w:tcPr>
          <w:p>
            <w:pPr>
              <w:pStyle w:val="1252"/>
              <w:ind w:firstLine="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bidi="ar-SA"/>
              </w:rPr>
              <w:t xml:space="preserve">提供1000+门在线课程列表，显示不同课程分类，查看课程学时学分，一键加入报名；并且支持报名直播讲堂，加入直播讲堂，观看每期直播，评论区发表留言，可支持回看，查看往期直播列表。</w:t>
            </w:r>
            <w:r/>
          </w:p>
        </w:tc>
        <w:tc>
          <w:tcPr>
            <w:tcW w:w="522" w:type="pct"/>
            <w:vAlign w:val="center"/>
            <w:textDirection w:val="lrTb"/>
            <w:noWrap w:val="false"/>
          </w:tcPr>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938"/>
        </w:trPr>
        <w:tc>
          <w:tcPr>
            <w:tcW w:w="627"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一体化教学门户网站</w:t>
            </w:r>
            <w:r/>
          </w:p>
        </w:tc>
        <w:tc>
          <w:tcPr>
            <w:tcW w:w="3850" w:type="pct"/>
            <w:vAlign w:val="center"/>
            <w:textDirection w:val="lrTb"/>
            <w:noWrap w:val="false"/>
          </w:tcPr>
          <w:p>
            <w:pPr>
              <w:pStyle w:val="1252"/>
              <w:ind w:firstLine="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bidi="ar-SA"/>
              </w:rPr>
              <w:t xml:space="preserve">帮助学校建设个性化门户网站，展示学校精品课程，发布新闻公告，活跃班级信息、名师风采展示等，个性化导航栏可以自定义配置。</w:t>
            </w:r>
            <w:r/>
          </w:p>
        </w:tc>
        <w:tc>
          <w:tcPr>
            <w:tcW w:w="522" w:type="pct"/>
            <w:vAlign w:val="center"/>
            <w:textDirection w:val="lrTb"/>
            <w:noWrap w:val="false"/>
          </w:tcPr>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71"/>
        </w:trPr>
        <w:tc>
          <w:tcPr>
            <w:tcW w:w="627"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项目实施服务需求</w:t>
            </w:r>
            <w:r/>
          </w:p>
        </w:tc>
        <w:tc>
          <w:tcPr>
            <w:tcW w:w="3850" w:type="pct"/>
            <w:vAlign w:val="center"/>
            <w:textDirection w:val="lrTb"/>
            <w:noWrap w:val="false"/>
          </w:tcPr>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1.数据接口服务:与学校数据中台对接教师、学生信息到教学平台。</w:t>
            </w:r>
            <w:r/>
          </w:p>
          <w:p>
            <w:pPr>
              <w:pStyle w:val="1252"/>
              <w:ind w:firstLine="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bidi="ar-SA"/>
              </w:rPr>
              <w:t xml:space="preserve">2.统一身份认证服务:与学校统一身份认证系统对接。</w:t>
            </w:r>
            <w:r/>
          </w:p>
        </w:tc>
        <w:tc>
          <w:tcPr>
            <w:tcW w:w="522" w:type="pct"/>
            <w:vAlign w:val="center"/>
            <w:textDirection w:val="lrTb"/>
            <w:noWrap w:val="false"/>
          </w:tcPr>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80"/>
        </w:trPr>
        <w:tc>
          <w:tcPr>
            <w:gridSpan w:val="2"/>
            <w:tcW w:w="4477" w:type="pct"/>
            <w:vAlign w:val="center"/>
            <w:textDirection w:val="lrTb"/>
            <w:noWrap w:val="false"/>
          </w:tcPr>
          <w:p>
            <w:pPr>
              <w:jc w:val="left"/>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color w:val="auto"/>
                <w:sz w:val="21"/>
                <w:szCs w:val="21"/>
                <w:highlight w:val="none"/>
              </w:rPr>
              <w:t xml:space="preserve">部门（签字盖章）</w:t>
            </w:r>
            <w:r>
              <w:rPr>
                <w:rFonts w:hint="eastAsia" w:ascii="宋体" w:hAnsi="宋体" w:eastAsia="宋体" w:cs="宋体"/>
                <w:color w:val="auto"/>
                <w:sz w:val="21"/>
                <w:szCs w:val="21"/>
                <w:highlight w:val="none"/>
                <w:lang w:eastAsia="zh-CN"/>
              </w:rPr>
              <w:t xml:space="preserve">:</w:t>
            </w:r>
            <w:r/>
          </w:p>
        </w:tc>
        <w:tc>
          <w:tcPr>
            <w:tcW w:w="522" w:type="pct"/>
            <w:vAlign w:val="center"/>
            <w:textDirection w:val="lrTb"/>
            <w:noWrap w:val="false"/>
          </w:tcPr>
          <w:p>
            <w:pPr>
              <w:jc w:val="left"/>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color w:val="auto"/>
                <w:sz w:val="21"/>
                <w:szCs w:val="21"/>
                <w:highlight w:val="none"/>
              </w:rPr>
              <w:t xml:space="preserve">项目负责人</w:t>
            </w:r>
            <w:r>
              <w:rPr>
                <w:rFonts w:hint="eastAsia" w:ascii="宋体" w:hAnsi="宋体" w:eastAsia="宋体" w:cs="宋体"/>
                <w:color w:val="auto"/>
                <w:sz w:val="21"/>
                <w:szCs w:val="21"/>
                <w:highlight w:val="none"/>
                <w:lang w:eastAsia="zh-CN"/>
              </w:rPr>
              <w:t xml:space="preserve">:</w:t>
            </w:r>
            <w:r/>
          </w:p>
        </w:tc>
      </w:tr>
    </w:tbl>
    <w:p>
      <w:pPr>
        <w:pStyle w:val="981"/>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（2）年度服务考核表</w:t>
      </w:r>
      <w:r/>
    </w:p>
    <w:tbl>
      <w:tblPr>
        <w:tblStyle w:val="1018"/>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3"/>
        <w:gridCol w:w="8110"/>
        <w:gridCol w:w="1278"/>
      </w:tblGrid>
      <w:tr>
        <w:trPr>
          <w:jc w:val="center"/>
          <w:trHeight w:val="618"/>
        </w:trPr>
        <w:tc>
          <w:tcPr>
            <w:tcW w:w="547" w:type="pct"/>
            <w:vAlign w:val="center"/>
            <w:textDirection w:val="lrTb"/>
            <w:noWrap w:val="false"/>
          </w:tcPr>
          <w:p>
            <w:pPr>
              <w:jc w:val="cente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服务</w:t>
            </w:r>
            <w:r>
              <w:rPr>
                <w:rFonts w:hint="eastAsia" w:ascii="宋体" w:hAnsi="宋体" w:eastAsia="宋体" w:cs="宋体"/>
                <w:b/>
                <w:color w:val="auto"/>
                <w:sz w:val="21"/>
                <w:szCs w:val="21"/>
                <w:highlight w:val="none"/>
                <w:lang w:val="en-US" w:eastAsia="zh-CN"/>
              </w:rPr>
              <w:t xml:space="preserve">名称</w:t>
            </w:r>
            <w:r/>
          </w:p>
        </w:tc>
        <w:tc>
          <w:tcPr>
            <w:tcW w:w="3845" w:type="pct"/>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服务内容</w:t>
            </w:r>
            <w:r/>
          </w:p>
        </w:tc>
        <w:tc>
          <w:tcPr>
            <w:tcW w:w="606" w:type="pct"/>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评价分值</w:t>
            </w:r>
            <w:r/>
          </w:p>
        </w:tc>
      </w:tr>
      <w:tr>
        <w:trPr>
          <w:jc w:val="center"/>
          <w:trHeight w:val="385"/>
        </w:trPr>
        <w:tc>
          <w:tcPr>
            <w:tcW w:w="547" w:type="pct"/>
            <w:vAlign w:val="center"/>
            <w:textDirection w:val="lrTb"/>
            <w:noWrap w:val="false"/>
          </w:tcPr>
          <w:p>
            <w:pPr>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运维</w:t>
            </w:r>
            <w:r/>
          </w:p>
          <w:p>
            <w:pPr>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服务</w:t>
            </w:r>
            <w:r/>
          </w:p>
        </w:tc>
        <w:tc>
          <w:tcPr>
            <w:tcW w:w="3845" w:type="pct"/>
            <w:vAlign w:val="center"/>
            <w:textDirection w:val="lrTb"/>
            <w:noWrap w:val="false"/>
          </w:tcPr>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对平台产生的不同程度的问题，进行及时响应并解决问题。</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（1）一级问题:系统无法运作，而且没有任何暂时性的解决方案；或者虽有暂时性的解决方案，但影响到使用者正常使用；或系统可以运作，但存在信息安全问题或信息丢失。</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需承诺的服务方案:1 小时内做出响应、2 小时内与客户讨论解决方案、3小时内提供现场技术支持、8小时内解决问题。</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（2）二级问题:系统可以运作，但功能已受到严重影响；系统性能受到严重影响或出现其它未知异常现象；大规模范围出现使用者使用速度明显偏慢。</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需承诺的服务方案:4小时内做出响应、12小时内与客户讨论解决方案、24小时内提供现场技术支持、48小时内解决问题。</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（3）三级问题:系统可以运作，但出现小范围的功能问题或者性能问题，采取修改配置等措施后仍无法正常运转。</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需承诺的服务方案:8小时内做出响应、48 小时内提供现场技术支持、72小时内解决问题。</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（4）四级问题:客户有问题询问或是功能方面的加强。</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需承诺的服务方案:48小时内做出响应、72小时内解决问题、问题解决后知会有关部门。</w:t>
            </w:r>
            <w:r/>
          </w:p>
        </w:tc>
        <w:tc>
          <w:tcPr>
            <w:tcW w:w="606" w:type="pct"/>
            <w:vAlign w:val="center"/>
            <w:textDirection w:val="lrTb"/>
            <w:noWrap w:val="false"/>
          </w:tcPr>
          <w:p>
            <w:pPr>
              <w:jc w:val="cente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5分</w:t>
            </w:r>
            <w:r/>
          </w:p>
        </w:tc>
      </w:tr>
      <w:tr>
        <w:trPr>
          <w:jc w:val="center"/>
          <w:trHeight w:val="385"/>
        </w:trPr>
        <w:tc>
          <w:tcPr>
            <w:tcW w:w="547" w:type="pct"/>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val="en-US" w:eastAsia="zh-CN"/>
              </w:rPr>
              <w:t xml:space="preserve">培训答疑服务</w:t>
            </w:r>
            <w:r/>
          </w:p>
        </w:tc>
        <w:tc>
          <w:tcPr>
            <w:tcW w:w="3845" w:type="pct"/>
            <w:vAlign w:val="center"/>
            <w:textDirection w:val="lrTb"/>
            <w:noWrap w:val="false"/>
          </w:tcPr>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1.培训资料</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（1）提供不同角色使用者的使用手册，包含:管理员使用手册、教师使用手册、学生使用手册等。</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（2）针对不同使用者录制使用帮助微视频，方便使用者学习使用。</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2.培训服务</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分别提供针对平台管理员、教师和学生等角色的专门培训服务，培训时间、时长及场次以采购人需要为准。每学年开展校级培训不少于两场次，并下沉至各二级教学院部开展培训不少于一场次，并根据学校教学改革需求、课程建设及运行需求协助学校邀请专家培训讲座。</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3.答疑服务</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需要提供现场答疑、电话答疑、在线客服、本地客服等形式的答疑服务。具体响应时间要求如下:</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（1）现场答疑:根据学校需求，提供5*12小时驻场服务，随时解答师生使用过程出现的问题。</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（2）上门答疑:教师提出需求后，在1小时内提供上门答疑，针对使用者的使用问题进行解答，不限时长，以全部问题解决为准。</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（3）电话答疑:提供服务人员的电话，使用者有问题时可拨打电话，随时进行沟通，工作日要求8:00-22:00，非工作日要求8:00-20:00。</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（4）在线客服:平台提供在线客服入口，提供7*24小时的在线咨询服务。</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（5）本地客服:</w:t>
            </w:r>
            <w:r>
              <w:rPr>
                <w:rFonts w:hint="eastAsia" w:ascii="宋体" w:hAnsi="宋体" w:eastAsia="宋体" w:cs="宋体"/>
                <w:color w:val="auto"/>
                <w:sz w:val="21"/>
                <w:szCs w:val="21"/>
                <w:highlight w:val="none"/>
                <w:lang w:val="en-US" w:eastAsia="zh-CN" w:bidi="ar-SA"/>
              </w:rPr>
              <w:t xml:space="preserve">投标人</w:t>
            </w:r>
            <w:r>
              <w:rPr>
                <w:rFonts w:hint="eastAsia" w:ascii="宋体" w:hAnsi="宋体" w:eastAsia="宋体" w:cs="宋体"/>
                <w:color w:val="auto"/>
                <w:sz w:val="21"/>
                <w:szCs w:val="21"/>
                <w:highlight w:val="none"/>
                <w:lang w:val="en-US" w:eastAsia="zh-CN" w:bidi="ar-SA"/>
              </w:rPr>
              <w:t xml:space="preserve">须提供不少于5人的本地客服团队，专门维护学校的用户群，提供咨询服务。</w:t>
            </w:r>
            <w:r/>
          </w:p>
        </w:tc>
        <w:tc>
          <w:tcPr>
            <w:tcW w:w="606" w:type="pct"/>
            <w:vAlign w:val="center"/>
            <w:textDirection w:val="lrTb"/>
            <w:noWrap w:val="false"/>
          </w:tcPr>
          <w:p>
            <w:pPr>
              <w:jc w:val="cente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3分</w:t>
            </w:r>
            <w:r/>
          </w:p>
        </w:tc>
      </w:tr>
      <w:tr>
        <w:trPr>
          <w:jc w:val="center"/>
          <w:trHeight w:val="371"/>
        </w:trPr>
        <w:tc>
          <w:tcPr>
            <w:tcW w:w="547" w:type="pct"/>
            <w:vAlign w:val="center"/>
            <w:textDirection w:val="lrTb"/>
            <w:noWrap w:val="false"/>
          </w:tcPr>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项目实施服务需求</w:t>
            </w:r>
            <w:r/>
          </w:p>
        </w:tc>
        <w:tc>
          <w:tcPr>
            <w:tcW w:w="3845" w:type="pct"/>
            <w:vAlign w:val="center"/>
            <w:textDirection w:val="lrTb"/>
            <w:noWrap w:val="false"/>
          </w:tcPr>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平台数据共享服务:平台运行产生的各种基础数据以中间库的形式提供给学校，汇入到学校公有数据池，实现数据共享。</w:t>
            </w:r>
            <w:r/>
          </w:p>
        </w:tc>
        <w:tc>
          <w:tcPr>
            <w:tcW w:w="606" w:type="pct"/>
            <w:vAlign w:val="center"/>
            <w:textDirection w:val="lrTb"/>
            <w:noWrap w:val="false"/>
          </w:tcPr>
          <w:p>
            <w:pPr>
              <w:jc w:val="cente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2分</w:t>
            </w:r>
            <w:r/>
          </w:p>
        </w:tc>
      </w:tr>
      <w:tr>
        <w:trPr>
          <w:jc w:val="center"/>
          <w:trHeight w:val="1280"/>
        </w:trPr>
        <w:tc>
          <w:tcPr>
            <w:gridSpan w:val="2"/>
            <w:tcW w:w="4393" w:type="pct"/>
            <w:vAlign w:val="center"/>
            <w:textDirection w:val="lrTb"/>
            <w:noWrap w:val="false"/>
          </w:tcPr>
          <w:p>
            <w:pPr>
              <w:jc w:val="left"/>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color w:val="auto"/>
                <w:sz w:val="21"/>
                <w:szCs w:val="21"/>
                <w:highlight w:val="none"/>
              </w:rPr>
              <w:t xml:space="preserve">部门（签字盖章）</w:t>
            </w:r>
            <w:r>
              <w:rPr>
                <w:rFonts w:hint="eastAsia" w:ascii="宋体" w:hAnsi="宋体" w:eastAsia="宋体" w:cs="宋体"/>
                <w:color w:val="auto"/>
                <w:sz w:val="21"/>
                <w:szCs w:val="21"/>
                <w:highlight w:val="none"/>
                <w:lang w:eastAsia="zh-CN"/>
              </w:rPr>
              <w:t xml:space="preserve">:</w:t>
            </w:r>
            <w:r/>
          </w:p>
        </w:tc>
        <w:tc>
          <w:tcPr>
            <w:tcW w:w="606" w:type="pct"/>
            <w:vAlign w:val="center"/>
            <w:textDirection w:val="lrTb"/>
            <w:noWrap w:val="false"/>
          </w:tcPr>
          <w:p>
            <w:pPr>
              <w:jc w:val="left"/>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color w:val="auto"/>
                <w:sz w:val="21"/>
                <w:szCs w:val="21"/>
                <w:highlight w:val="none"/>
              </w:rPr>
              <w:t xml:space="preserve">项目负责人</w:t>
            </w:r>
            <w:r>
              <w:rPr>
                <w:rFonts w:hint="eastAsia" w:ascii="宋体" w:hAnsi="宋体" w:eastAsia="宋体" w:cs="宋体"/>
                <w:color w:val="auto"/>
                <w:sz w:val="21"/>
                <w:szCs w:val="21"/>
                <w:highlight w:val="none"/>
                <w:lang w:eastAsia="zh-CN"/>
              </w:rPr>
              <w:t xml:space="preserve">:</w:t>
            </w:r>
            <w:r/>
          </w:p>
        </w:tc>
      </w:tr>
    </w:tbl>
    <w:p>
      <w:pPr>
        <w:pStyle w:val="981"/>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contextualSpacing/>
        <w:ind w:firstLine="723"/>
        <w:jc w:val="center"/>
        <w:spacing w:line="360" w:lineRule="auto"/>
        <w:rPr>
          <w:rFonts w:hint="eastAsia" w:ascii="宋体" w:hAnsi="宋体" w:eastAsia="宋体" w:cs="宋体"/>
          <w:color w:val="auto"/>
          <w:sz w:val="18"/>
          <w:szCs w:val="18"/>
          <w:highlight w:val="none"/>
        </w:rPr>
      </w:pPr>
      <w:r>
        <w:rPr>
          <w:rFonts w:hint="eastAsia" w:ascii="宋体" w:hAnsi="宋体" w:eastAsia="宋体" w:cs="宋体"/>
          <w:b/>
          <w:color w:val="auto"/>
          <w:sz w:val="36"/>
          <w:szCs w:val="36"/>
          <w:highlight w:val="none"/>
        </w:rPr>
        <w:t xml:space="preserve">第六章   </w:t>
      </w:r>
      <w:bookmarkEnd w:id="233"/>
      <w:r>
        <w:rPr>
          <w:rFonts w:hint="eastAsia" w:ascii="宋体" w:hAnsi="宋体" w:eastAsia="宋体" w:cs="宋体"/>
          <w:b/>
          <w:color w:val="auto"/>
          <w:sz w:val="36"/>
          <w:szCs w:val="36"/>
          <w:highlight w:val="none"/>
        </w:rPr>
        <w:t xml:space="preserve">拟签订的合同文本</w:t>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合同编号:</w:t>
      </w:r>
      <w:r>
        <w:rPr>
          <w:rFonts w:hint="eastAsia" w:ascii="宋体" w:hAnsi="宋体" w:eastAsia="宋体" w:cs="宋体"/>
          <w:color w:val="auto"/>
          <w:sz w:val="24"/>
          <w:highlight w:val="none"/>
          <w:u w:val="single"/>
        </w:rPr>
        <w:t xml:space="preserve">           </w:t>
      </w:r>
      <w:r/>
    </w:p>
    <w:p>
      <w:pPr>
        <w:jc w:val="center"/>
        <w:spacing w:before="100" w:beforeAutospacing="1" w:after="100" w:afterAutospacing="1" w:line="480" w:lineRule="auto"/>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                                          </w:t>
      </w:r>
      <w:r/>
    </w:p>
    <w:p>
      <w:pPr>
        <w:jc w:val="center"/>
        <w:spacing w:before="100" w:beforeAutospacing="1" w:after="100" w:afterAutospacing="1" w:line="480" w:lineRule="auto"/>
        <w:widowControl/>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政府采购合同</w:t>
      </w:r>
      <w:r/>
    </w:p>
    <w:p>
      <w:pPr>
        <w:jc w:val="center"/>
        <w:spacing w:before="100" w:beforeAutospacing="1" w:after="100" w:afterAutospacing="1" w:line="48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36"/>
          <w:szCs w:val="36"/>
          <w:highlight w:val="none"/>
        </w:rPr>
        <w:t xml:space="preserve">(本项目最终签订的合同由合同双方协商后确定)</w:t>
      </w:r>
      <w:r/>
    </w:p>
    <w:p>
      <w:pPr>
        <w:spacing w:before="100" w:beforeAutospacing="1" w:after="100" w:afterAutospacing="1"/>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600"/>
        <w:spacing w:before="120" w:line="240" w:lineRule="atLeast"/>
        <w:widowControl/>
        <w:rPr>
          <w:rFonts w:hint="eastAsia" w:ascii="宋体" w:hAnsi="宋体" w:eastAsia="宋体" w:cs="宋体"/>
          <w:color w:val="auto"/>
          <w:sz w:val="30"/>
          <w:szCs w:val="30"/>
          <w:highlight w:val="none"/>
          <w:u w:val="single"/>
          <w:lang w:eastAsia="zh-CN"/>
        </w:rPr>
      </w:pPr>
      <w:r>
        <w:rPr>
          <w:rFonts w:hint="eastAsia" w:ascii="宋体" w:hAnsi="宋体" w:eastAsia="宋体" w:cs="宋体"/>
          <w:color w:val="auto"/>
          <w:sz w:val="30"/>
          <w:szCs w:val="30"/>
          <w:highlight w:val="none"/>
        </w:rPr>
        <w:t xml:space="preserve">项目名称:</w:t>
      </w:r>
      <w:r>
        <w:rPr>
          <w:rFonts w:hint="eastAsia" w:ascii="宋体" w:hAnsi="宋体" w:eastAsia="宋体" w:cs="宋体"/>
          <w:color w:val="auto"/>
          <w:sz w:val="30"/>
          <w:szCs w:val="30"/>
          <w:highlight w:val="none"/>
          <w:u w:val="single"/>
          <w:lang w:eastAsia="zh-CN"/>
        </w:rPr>
        <w:t xml:space="preserve">常州机电职业技术学院AI+智慧教学中心服务项目</w:t>
      </w:r>
      <w:r/>
    </w:p>
    <w:p>
      <w:pPr>
        <w:jc w:val="left"/>
        <w:spacing w:before="120" w:after="100" w:afterAutospacing="1"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w:t>
      </w:r>
      <w:r/>
    </w:p>
    <w:p>
      <w:pPr>
        <w:ind w:firstLine="600"/>
        <w:jc w:val="left"/>
        <w:spacing w:before="120" w:line="240" w:lineRule="atLeast"/>
        <w:widowControl/>
        <w:rPr>
          <w:rFonts w:hint="eastAsia" w:ascii="宋体" w:hAnsi="宋体" w:eastAsia="宋体" w:cs="宋体"/>
          <w:color w:val="auto"/>
          <w:sz w:val="30"/>
          <w:szCs w:val="30"/>
          <w:highlight w:val="none"/>
          <w:u w:val="single"/>
        </w:rPr>
      </w:pPr>
      <w:r>
        <w:rPr>
          <w:rFonts w:hint="eastAsia" w:ascii="宋体" w:hAnsi="宋体" w:eastAsia="宋体" w:cs="宋体"/>
          <w:color w:val="auto"/>
          <w:sz w:val="30"/>
          <w:szCs w:val="30"/>
          <w:highlight w:val="none"/>
        </w:rPr>
        <w:t xml:space="preserve">甲方:</w:t>
      </w:r>
      <w:r>
        <w:rPr>
          <w:rFonts w:hint="eastAsia" w:ascii="宋体" w:hAnsi="宋体" w:eastAsia="宋体" w:cs="宋体"/>
          <w:color w:val="auto"/>
          <w:sz w:val="30"/>
          <w:szCs w:val="30"/>
          <w:highlight w:val="none"/>
          <w:u w:val="single"/>
          <w:lang w:eastAsia="zh-CN"/>
        </w:rPr>
        <w:t xml:space="preserve">常州机电职业技术学院</w:t>
      </w:r>
      <w:r>
        <w:rPr>
          <w:rFonts w:hint="eastAsia" w:ascii="宋体" w:hAnsi="宋体" w:eastAsia="宋体" w:cs="宋体"/>
          <w:color w:val="auto"/>
          <w:sz w:val="30"/>
          <w:szCs w:val="30"/>
          <w:highlight w:val="none"/>
          <w:u w:val="single"/>
        </w:rPr>
        <w:t xml:space="preserve">          </w:t>
      </w:r>
      <w:r/>
    </w:p>
    <w:p>
      <w:pPr>
        <w:jc w:val="left"/>
        <w:spacing w:before="120" w:after="100" w:afterAutospacing="1"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w:t>
      </w:r>
      <w:r/>
    </w:p>
    <w:p>
      <w:pPr>
        <w:ind w:firstLine="600"/>
        <w:jc w:val="left"/>
        <w:spacing w:before="120"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乙方:</w:t>
      </w:r>
      <w:r>
        <w:rPr>
          <w:rFonts w:hint="eastAsia" w:ascii="宋体" w:hAnsi="宋体" w:eastAsia="宋体" w:cs="宋体"/>
          <w:color w:val="auto"/>
          <w:sz w:val="30"/>
          <w:szCs w:val="30"/>
          <w:highlight w:val="none"/>
          <w:u w:val="single"/>
        </w:rPr>
        <w:t xml:space="preserve">                                              </w:t>
      </w:r>
      <w:r/>
    </w:p>
    <w:p>
      <w:pPr>
        <w:jc w:val="left"/>
        <w:spacing w:before="120" w:after="100" w:afterAutospacing="1"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w:t>
      </w:r>
      <w:r/>
    </w:p>
    <w:p>
      <w:pPr>
        <w:ind w:firstLine="600"/>
        <w:jc w:val="left"/>
        <w:spacing w:before="120" w:after="100" w:afterAutospacing="1"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签订地:</w:t>
      </w:r>
      <w:r>
        <w:rPr>
          <w:rFonts w:hint="eastAsia" w:ascii="宋体" w:hAnsi="宋体" w:eastAsia="宋体" w:cs="宋体"/>
          <w:color w:val="auto"/>
          <w:sz w:val="30"/>
          <w:szCs w:val="30"/>
          <w:highlight w:val="none"/>
          <w:u w:val="single"/>
        </w:rPr>
        <w:t xml:space="preserve">                                            </w:t>
      </w:r>
      <w:r/>
    </w:p>
    <w:p>
      <w:pPr>
        <w:jc w:val="left"/>
        <w:spacing w:before="120" w:after="100" w:afterAutospacing="1"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w:t>
      </w:r>
      <w:r/>
    </w:p>
    <w:p>
      <w:pPr>
        <w:ind w:firstLine="600"/>
        <w:jc w:val="left"/>
        <w:spacing w:before="120" w:after="100" w:afterAutospacing="1"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签订日期:</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年</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月</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日</w:t>
      </w:r>
      <w:r/>
    </w:p>
    <w:p>
      <w:pPr>
        <w:jc w:val="left"/>
        <w:widowControl/>
        <w:rPr>
          <w:rFonts w:hint="eastAsia" w:ascii="宋体" w:hAnsi="宋体" w:eastAsia="宋体" w:cs="宋体"/>
          <w:color w:val="auto"/>
          <w:sz w:val="24"/>
          <w:highlight w:val="none"/>
        </w:rPr>
        <w:sectPr>
          <w:footnotePr/>
          <w:endnotePr/>
          <w:type w:val="nextPage"/>
          <w:pgSz w:w="12240" w:h="15840" w:orient="portrait"/>
          <w:pgMar w:top="1440" w:right="1080" w:bottom="1440" w:left="1080" w:header="720" w:footer="720" w:gutter="0"/>
          <w:cols w:num="1" w:sep="0" w:space="720" w:equalWidth="1"/>
          <w:docGrid w:linePitch="360"/>
        </w:sectPr>
      </w:pPr>
      <w:r>
        <w:rPr>
          <w:rFonts w:hint="eastAsia" w:ascii="宋体" w:hAnsi="宋体" w:eastAsia="宋体" w:cs="宋体"/>
          <w:color w:val="auto"/>
          <w:sz w:val="24"/>
          <w:highlight w:val="none"/>
        </w:rPr>
      </w:r>
      <w:r/>
    </w:p>
    <w:p>
      <w:pPr>
        <w:ind w:firstLine="480"/>
        <w:jc w:val="left"/>
        <w:spacing w:line="360" w:lineRule="auto"/>
        <w:rPr>
          <w:rFonts w:hint="eastAsia" w:ascii="宋体" w:hAnsi="宋体" w:eastAsia="宋体" w:cs="宋体"/>
          <w:bCs/>
          <w:color w:val="auto"/>
          <w:sz w:val="24"/>
          <w:szCs w:val="24"/>
          <w:highlight w:val="none"/>
        </w:rPr>
      </w:pPr>
      <w:r/>
      <w:bookmarkStart w:id="275" w:name="_Toc17838"/>
      <w:r/>
      <w:bookmarkStart w:id="276" w:name="_Toc31209"/>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rPr>
          <w:rFonts w:hint="eastAsia" w:ascii="宋体" w:hAnsi="宋体" w:eastAsia="宋体" w:cs="宋体"/>
          <w:bCs/>
          <w:color w:val="auto"/>
          <w:sz w:val="24"/>
          <w:szCs w:val="24"/>
          <w:highlight w:val="none"/>
          <w:u w:val="single"/>
          <w:lang w:eastAsia="zh-CN"/>
        </w:rPr>
        <w:t xml:space="preserve">常州机电职业技术学院</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以</w:t>
      </w:r>
      <w:r>
        <w:rPr>
          <w:rFonts w:hint="eastAsia" w:ascii="宋体" w:hAnsi="宋体" w:eastAsia="宋体" w:cs="宋体"/>
          <w:bCs/>
          <w:color w:val="auto"/>
          <w:sz w:val="24"/>
          <w:szCs w:val="24"/>
          <w:highlight w:val="none"/>
          <w:u w:val="single"/>
        </w:rPr>
        <w:t xml:space="preserve">公开招标方式</w:t>
      </w:r>
      <w:r>
        <w:rPr>
          <w:rFonts w:hint="eastAsia" w:ascii="宋体" w:hAnsi="宋体" w:eastAsia="宋体" w:cs="宋体"/>
          <w:bCs/>
          <w:color w:val="auto"/>
          <w:sz w:val="24"/>
          <w:szCs w:val="24"/>
          <w:highlight w:val="none"/>
        </w:rPr>
        <w:t xml:space="preserve">对</w:t>
      </w:r>
      <w:r>
        <w:rPr>
          <w:rFonts w:hint="eastAsia" w:ascii="宋体" w:hAnsi="宋体" w:eastAsia="宋体" w:cs="宋体"/>
          <w:bCs/>
          <w:color w:val="auto"/>
          <w:sz w:val="24"/>
          <w:szCs w:val="24"/>
          <w:highlight w:val="none"/>
          <w:u w:val="single"/>
          <w:lang w:eastAsia="zh-CN"/>
        </w:rPr>
        <w:t xml:space="preserve">常州机电职业技术学院AI+智慧教学中心服务项目</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JSZC-320400-CZZJ-G2025-0032</w:t>
      </w:r>
      <w:r>
        <w:rPr>
          <w:rFonts w:hint="eastAsia" w:ascii="宋体" w:hAnsi="宋体" w:eastAsia="宋体" w:cs="宋体"/>
          <w:bCs/>
          <w:color w:val="auto"/>
          <w:sz w:val="24"/>
          <w:szCs w:val="24"/>
          <w:highlight w:val="none"/>
        </w:rPr>
        <w:t xml:space="preserve">）进行了采购。经</w:t>
      </w:r>
      <w:r>
        <w:rPr>
          <w:rFonts w:hint="eastAsia" w:ascii="宋体" w:hAnsi="宋体" w:eastAsia="宋体" w:cs="宋体"/>
          <w:bCs/>
          <w:color w:val="auto"/>
          <w:sz w:val="24"/>
          <w:szCs w:val="24"/>
          <w:highlight w:val="none"/>
          <w:lang w:eastAsia="zh-CN"/>
        </w:rPr>
        <w:t xml:space="preserve">评标小组</w:t>
      </w:r>
      <w:r>
        <w:rPr>
          <w:rFonts w:hint="eastAsia" w:ascii="宋体" w:hAnsi="宋体" w:eastAsia="宋体" w:cs="宋体"/>
          <w:bCs/>
          <w:color w:val="auto"/>
          <w:sz w:val="24"/>
          <w:szCs w:val="24"/>
          <w:highlight w:val="none"/>
        </w:rPr>
        <w:t xml:space="preserve">评定，</w:t>
      </w:r>
      <w:r>
        <w:rPr>
          <w:rFonts w:hint="eastAsia" w:ascii="宋体" w:hAnsi="宋体" w:eastAsia="宋体" w:cs="宋体"/>
          <w:bCs/>
          <w:color w:val="auto"/>
          <w:sz w:val="24"/>
          <w:szCs w:val="24"/>
          <w:highlight w:val="none"/>
          <w:u w:val="single"/>
        </w:rPr>
        <w:t xml:space="preserve">             （中标单位名称）</w:t>
      </w:r>
      <w:r>
        <w:rPr>
          <w:rFonts w:hint="eastAsia" w:ascii="宋体" w:hAnsi="宋体" w:eastAsia="宋体" w:cs="宋体"/>
          <w:bCs/>
          <w:color w:val="auto"/>
          <w:sz w:val="24"/>
          <w:szCs w:val="24"/>
          <w:highlight w:val="none"/>
        </w:rPr>
        <w:t xml:space="preserve">为该项目中标单位。现于中标通知书发出之日起30日内，按照公开招标确定的事项签订本合同。</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根据《中华人民共和国民法典》、《中华人民共和国政府采购法》等相关法律法规之规定，按照平等、自愿、公平和诚实信用的原则，经</w:t>
      </w:r>
      <w:r>
        <w:rPr>
          <w:rFonts w:hint="eastAsia" w:ascii="宋体" w:hAnsi="宋体" w:eastAsia="宋体" w:cs="宋体"/>
          <w:bCs/>
          <w:color w:val="auto"/>
          <w:sz w:val="24"/>
          <w:szCs w:val="24"/>
          <w:highlight w:val="none"/>
          <w:u w:val="single"/>
          <w:lang w:eastAsia="zh-CN"/>
        </w:rPr>
        <w:t xml:space="preserve">常州机电职业技术学院</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rPr>
        <w:t xml:space="preserve">以下简称:甲方)和</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（中标单位名称）(以下简称:乙方)协商一致，约定以下合同条款，以兹共同遵守、全面履行。</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一、合同标的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1.乙方按甲方要求，为甲方提供的</w:t>
      </w:r>
      <w:r>
        <w:rPr>
          <w:rFonts w:hint="eastAsia" w:ascii="宋体" w:hAnsi="宋体" w:eastAsia="宋体" w:cs="宋体"/>
          <w:color w:val="auto"/>
          <w:sz w:val="24"/>
          <w:szCs w:val="24"/>
          <w:highlight w:val="none"/>
          <w:u w:val="single"/>
        </w:rPr>
        <w:t xml:space="preserve">常州机电职业技术学院AI+智慧教学中心</w:t>
      </w:r>
      <w:r>
        <w:rPr>
          <w:rFonts w:hint="eastAsia" w:ascii="宋体" w:hAnsi="宋体" w:eastAsia="宋体" w:cs="宋体"/>
          <w:color w:val="auto"/>
          <w:sz w:val="24"/>
          <w:szCs w:val="24"/>
          <w:highlight w:val="none"/>
          <w:u w:val="single"/>
          <w:lang w:val="en-US" w:eastAsia="zh-CN"/>
        </w:rPr>
        <w:t xml:space="preserve">服务</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color w:val="auto"/>
          <w:sz w:val="24"/>
          <w:szCs w:val="24"/>
          <w:highlight w:val="none"/>
        </w:rPr>
        <w:t xml:space="preserve">，具体服务内容见下表（单位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p>
    <w:tbl>
      <w:tblPr>
        <w:tblStyle w:val="980"/>
        <w:tblW w:w="94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580"/>
        <w:gridCol w:w="7250"/>
      </w:tblGrid>
      <w:tr>
        <w:trPr>
          <w:jc w:val="center"/>
          <w:trHeight w:val="490"/>
        </w:trPr>
        <w:tc>
          <w:tcPr>
            <w:tcBorders>
              <w:top w:val="single" w:color="auto" w:sz="4" w:space="0"/>
              <w:left w:val="single" w:color="auto" w:sz="4" w:space="0"/>
              <w:bottom w:val="single" w:color="auto" w:sz="4" w:space="0"/>
              <w:right w:val="single" w:color="auto" w:sz="4" w:space="0"/>
            </w:tcBorders>
            <w:tcW w:w="640" w:type="dxa"/>
            <w:vAlign w:val="top"/>
            <w:textDirection w:val="lrTb"/>
            <w:noWrap w:val="false"/>
          </w:tcPr>
          <w:p>
            <w:pPr>
              <w:pStyle w:val="119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80" w:type="dxa"/>
            <w:vAlign w:val="top"/>
            <w:textDirection w:val="lrTb"/>
            <w:noWrap w:val="false"/>
          </w:tcPr>
          <w:p>
            <w:pPr>
              <w:pStyle w:val="119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7250" w:type="dxa"/>
            <w:vAlign w:val="top"/>
            <w:textDirection w:val="lrTb"/>
            <w:noWrap w:val="false"/>
          </w:tcPr>
          <w:p>
            <w:pPr>
              <w:pStyle w:val="119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内容说明</w:t>
            </w:r>
            <w:r/>
          </w:p>
        </w:tc>
      </w:tr>
      <w:tr>
        <w:trPr>
          <w:jc w:val="center"/>
          <w:trHeight w:val="496"/>
        </w:trPr>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pStyle w:val="12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pStyle w:val="12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常州机电职业技术学院AI+智慧教学中心</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W w:w="7250" w:type="dxa"/>
            <w:vAlign w:val="center"/>
            <w:textDirection w:val="lrTb"/>
            <w:noWrap w:val="false"/>
          </w:tcPr>
          <w:p>
            <w:pPr>
              <w:pStyle w:val="12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旨在</w:t>
            </w:r>
            <w:r>
              <w:rPr>
                <w:rFonts w:hint="eastAsia" w:ascii="宋体" w:hAnsi="宋体" w:eastAsia="宋体" w:cs="宋体"/>
                <w:color w:val="auto"/>
                <w:sz w:val="24"/>
                <w:szCs w:val="24"/>
                <w:highlight w:val="none"/>
              </w:rPr>
              <w:t xml:space="preserve">构建常州机电职业技术学院以学生为中心的AI+智慧教学中心，把各类教学应用平台、教学资源、应用数据等进行一体化整合、打通，借助大数据分析与人工智能技术，深度融合AI教学工具与智能体，支撑个性化教与学，推进教学、资源、管理与评价的一体化建设，推动学校教学全流程数字化整合与智能化升级，助力学校教学管理信息化水平与教学质量全面提升。</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所提供的产品服务需包含如下功能模块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网络教学系统、课堂互动系统、大数据分析系统、AI教学服务、能力图谱、智能体、校本数字教材平台、虚拟教研室平台、校级竞赛管理系统、教师教学能力提升课程资源、一体化教学门户。</w:t>
            </w:r>
            <w:r/>
          </w:p>
        </w:tc>
      </w:tr>
      <w:tr>
        <w:trPr>
          <w:jc w:val="center"/>
          <w:trHeight w:val="805"/>
        </w:trPr>
        <w:tc>
          <w:tcPr>
            <w:gridSpan w:val="3"/>
            <w:tcBorders>
              <w:top w:val="single" w:color="auto" w:sz="4" w:space="0"/>
              <w:left w:val="single" w:color="auto" w:sz="4" w:space="0"/>
              <w:bottom w:val="single" w:color="auto" w:sz="4" w:space="0"/>
              <w:right w:val="single" w:color="auto" w:sz="4" w:space="0"/>
            </w:tcBorders>
            <w:tcW w:w="9470" w:type="dxa"/>
            <w:vAlign w:val="center"/>
            <w:textDirection w:val="lrTb"/>
            <w:noWrap w:val="false"/>
          </w:tcPr>
          <w:p>
            <w:pPr>
              <w:pStyle w:val="12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合计金额大写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tc>
      </w:tr>
    </w:tbl>
    <w:p>
      <w:pPr>
        <w:ind w:firstLine="480"/>
        <w:jc w:val="left"/>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各模块分项价格表</w:t>
      </w:r>
      <w:r/>
    </w:p>
    <w:tbl>
      <w:tblPr>
        <w:tblStyle w:val="980"/>
        <w:tblW w:w="94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3504"/>
        <w:gridCol w:w="1596"/>
        <w:gridCol w:w="1131"/>
        <w:gridCol w:w="1607"/>
        <w:gridCol w:w="860"/>
      </w:tblGrid>
      <w:tr>
        <w:trPr>
          <w:jc w:val="center"/>
          <w:trHeight w:val="39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pStyle w:val="1191"/>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val="false"/>
          </w:tcPr>
          <w:p>
            <w:pPr>
              <w:pStyle w:val="1191"/>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pStyle w:val="1191"/>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单价（元）</w:t>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pStyle w:val="1191"/>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pStyle w:val="1191"/>
              <w:ind w:left="0" w:firstLine="192"/>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金额（元）</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pStyle w:val="1191"/>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39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网络教学系统</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课堂互动系统</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大数据分析系统</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AI教学服务</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能力图谱</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智能体</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校本数字教材平台</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虚拟教研室平台</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校级竞赛管理系统</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教师教学能力提升课程资源</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一体化教学门户</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trPr>
        <w:tc>
          <w:tcPr>
            <w:gridSpan w:val="6"/>
            <w:tcBorders>
              <w:top w:val="single" w:color="auto" w:sz="4" w:space="0"/>
              <w:left w:val="single" w:color="auto" w:sz="4" w:space="0"/>
              <w:bottom w:val="single" w:color="auto" w:sz="4" w:space="0"/>
              <w:right w:val="single" w:color="auto" w:sz="4" w:space="0"/>
            </w:tcBorders>
            <w:tcW w:w="9470"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合计金额大写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tc>
      </w:tr>
    </w:tbl>
    <w:p>
      <w:pPr>
        <w:pStyle w:val="981"/>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二、服务要求</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277" w:name="_Hlk514703989"/>
      <w:r>
        <w:rPr>
          <w:rFonts w:hint="eastAsia" w:ascii="宋体" w:hAnsi="宋体" w:eastAsia="宋体" w:cs="宋体"/>
          <w:color w:val="auto"/>
          <w:sz w:val="24"/>
          <w:szCs w:val="24"/>
          <w:highlight w:val="none"/>
        </w:rPr>
        <w:t xml:space="preserve">1.服务要求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（以合同附件形式附后）；</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2.下列文件是构成合同不可分割的部分，并与本合同具有同等法律效力，</w:t>
      </w:r>
      <w:r>
        <w:rPr>
          <w:rFonts w:hint="eastAsia" w:ascii="宋体" w:hAnsi="宋体" w:eastAsia="宋体" w:cs="宋体"/>
          <w:bCs/>
          <w:color w:val="auto"/>
          <w:sz w:val="24"/>
          <w:szCs w:val="24"/>
          <w:highlight w:val="none"/>
        </w:rPr>
        <w:t xml:space="preserve">这些文件包括但不限于</w:t>
      </w:r>
      <w:r>
        <w:rPr>
          <w:rFonts w:hint="eastAsia" w:ascii="宋体" w:hAnsi="宋体" w:eastAsia="宋体" w:cs="宋体"/>
          <w:bCs/>
          <w:color w:val="auto"/>
          <w:sz w:val="24"/>
          <w:szCs w:val="24"/>
          <w:highlight w:val="none"/>
          <w:lang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（2）乙方提交的</w:t>
      </w:r>
      <w:r>
        <w:rPr>
          <w:rFonts w:hint="eastAsia" w:ascii="宋体" w:hAnsi="宋体" w:eastAsia="宋体"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（3）乙方投标的其他资料及承诺。</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（4）评标记录表及双方约定</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三、</w:t>
      </w:r>
      <w:r>
        <w:rPr>
          <w:rFonts w:hint="eastAsia" w:ascii="宋体" w:hAnsi="宋体" w:eastAsia="宋体" w:cs="宋体"/>
          <w:b/>
          <w:color w:val="auto"/>
          <w:sz w:val="24"/>
          <w:szCs w:val="24"/>
          <w:highlight w:val="none"/>
          <w:lang w:val="en-US" w:eastAsia="zh-CN"/>
        </w:rPr>
        <w:t xml:space="preserve">合同履行期限</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本项目服务期</w:t>
      </w:r>
      <w:r>
        <w:rPr>
          <w:rFonts w:hint="eastAsia" w:ascii="宋体" w:hAnsi="宋体" w:eastAsia="宋体" w:cs="宋体"/>
          <w:color w:val="auto"/>
          <w:sz w:val="24"/>
          <w:szCs w:val="24"/>
          <w:highlight w:val="none"/>
          <w:u w:val="single"/>
        </w:rPr>
        <w:t xml:space="preserve">  三  </w:t>
      </w:r>
      <w:r>
        <w:rPr>
          <w:rFonts w:hint="eastAsia" w:ascii="宋体" w:hAnsi="宋体" w:eastAsia="宋体" w:cs="宋体"/>
          <w:color w:val="auto"/>
          <w:sz w:val="24"/>
          <w:szCs w:val="24"/>
          <w:highlight w:val="none"/>
        </w:rPr>
        <w:t xml:space="preserve">年，自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bookmarkEnd w:id="277"/>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合同一年一签，通过</w:t>
      </w:r>
      <w:r>
        <w:rPr>
          <w:rFonts w:hint="eastAsia" w:ascii="宋体" w:hAnsi="宋体" w:eastAsia="宋体" w:cs="宋体"/>
          <w:b/>
          <w:color w:val="auto"/>
          <w:sz w:val="24"/>
          <w:szCs w:val="24"/>
          <w:highlight w:val="none"/>
          <w:lang w:eastAsia="zh-CN"/>
        </w:rPr>
        <w:t xml:space="preserve">甲方</w:t>
      </w:r>
      <w:r>
        <w:rPr>
          <w:rFonts w:hint="eastAsia" w:ascii="宋体" w:hAnsi="宋体" w:eastAsia="宋体" w:cs="宋体"/>
          <w:b/>
          <w:color w:val="auto"/>
          <w:sz w:val="24"/>
          <w:szCs w:val="24"/>
          <w:highlight w:val="none"/>
        </w:rPr>
        <w:t xml:space="preserve">考核后方可续签下一年度合同</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本合同服务期为</w:t>
      </w:r>
      <w:r>
        <w:rPr>
          <w:rFonts w:hint="eastAsia" w:ascii="宋体" w:hAnsi="宋体" w:eastAsia="宋体" w:cs="宋体"/>
          <w:color w:val="auto"/>
          <w:sz w:val="24"/>
          <w:szCs w:val="24"/>
          <w:highlight w:val="none"/>
        </w:rPr>
        <w:t xml:space="preserve">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eastAsia="zh-CN"/>
        </w:rPr>
        <w:t xml:space="preserve">。</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四、验收方案</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乙方所提供的服务必须符合</w:t>
      </w:r>
      <w:r>
        <w:rPr>
          <w:rFonts w:hint="eastAsia" w:ascii="宋体" w:hAnsi="宋体" w:eastAsia="宋体" w:cs="宋体"/>
          <w:color w:val="auto"/>
          <w:sz w:val="24"/>
          <w:szCs w:val="24"/>
          <w:highlight w:val="none"/>
          <w:u w:val="single"/>
          <w:lang w:val="en-US" w:eastAsia="zh-CN"/>
        </w:rPr>
        <w:t xml:space="preserve">国家、行业标准</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（含技术说明）和</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文件的要求。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none"/>
          <w:lang w:val="en-US" w:eastAsia="zh-CN"/>
        </w:rPr>
      </w:pPr>
      <w:r/>
      <w:bookmarkStart w:id="278" w:name="_Hlk515567202"/>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val="en-US" w:eastAsia="zh-CN"/>
        </w:rPr>
        <w:t xml:space="preserve">验收时间和地点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（1）平台开通实施:由乙方提出验收申请；</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none"/>
          <w:lang w:val="en-US"/>
        </w:rPr>
      </w:pPr>
      <w:r>
        <w:rPr>
          <w:rFonts w:hint="eastAsia" w:ascii="宋体" w:hAnsi="宋体" w:eastAsia="宋体" w:cs="宋体"/>
          <w:color w:val="auto"/>
          <w:sz w:val="24"/>
          <w:szCs w:val="24"/>
          <w:highlight w:val="none"/>
          <w:u w:val="none"/>
          <w:lang w:val="en-US" w:eastAsia="zh-CN"/>
        </w:rPr>
        <w:t xml:space="preserve">（2）年度服务考核:每年下半年；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（3）地点为常州机电职业技术学院。</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2.验收方法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single"/>
          <w:lang w:val="en-US" w:eastAsia="zh-CN"/>
        </w:rPr>
        <w:t xml:space="preserve">平台开通实施:需对照“平台开通实施验收表”服务内容</w:t>
      </w:r>
      <w:r>
        <w:rPr>
          <w:rFonts w:hint="eastAsia" w:ascii="宋体" w:hAnsi="宋体" w:eastAsia="宋体" w:cs="宋体"/>
          <w:b w:val="0"/>
          <w:bCs w:val="0"/>
          <w:color w:val="auto"/>
          <w:sz w:val="24"/>
          <w:szCs w:val="24"/>
          <w:highlight w:val="none"/>
          <w:u w:val="single"/>
          <w:lang w:val="en-US" w:eastAsia="zh-CN"/>
        </w:rPr>
        <w:t xml:space="preserve">逐条演示</w:t>
      </w:r>
      <w:r>
        <w:rPr>
          <w:rFonts w:hint="eastAsia" w:ascii="宋体" w:hAnsi="宋体" w:eastAsia="宋体" w:cs="宋体"/>
          <w:color w:val="auto"/>
          <w:sz w:val="24"/>
          <w:szCs w:val="24"/>
          <w:highlight w:val="none"/>
          <w:u w:val="single"/>
          <w:lang w:val="en-US" w:eastAsia="zh-CN"/>
        </w:rPr>
        <w:t xml:space="preserve">，由甲方组织验收。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none"/>
          <w:lang w:val="en-US"/>
        </w:rPr>
      </w:pPr>
      <w:r>
        <w:rPr>
          <w:rFonts w:hint="eastAsia" w:ascii="宋体" w:hAnsi="宋体" w:eastAsia="宋体" w:cs="宋体"/>
          <w:color w:val="auto"/>
          <w:sz w:val="24"/>
          <w:szCs w:val="24"/>
          <w:highlight w:val="none"/>
          <w:u w:val="none"/>
          <w:lang w:val="en-US" w:eastAsia="zh-CN"/>
        </w:rPr>
        <w:t xml:space="preserve">（2）</w:t>
      </w:r>
      <w:r>
        <w:rPr>
          <w:rFonts w:hint="eastAsia" w:ascii="宋体" w:hAnsi="宋体" w:eastAsia="宋体" w:cs="宋体"/>
          <w:color w:val="auto"/>
          <w:sz w:val="24"/>
          <w:szCs w:val="24"/>
          <w:highlight w:val="none"/>
          <w:u w:val="single"/>
          <w:lang w:val="en-US" w:eastAsia="zh-CN"/>
        </w:rPr>
        <w:t xml:space="preserve">年度服务考核:需对照“年度服务考核表”打分，得分8分及以上即考核合格。</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3.服务验收表</w:t>
      </w:r>
      <w:r/>
    </w:p>
    <w:p>
      <w:pPr>
        <w:pStyle w:val="981"/>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（1）平台开通实施验收表</w:t>
      </w:r>
      <w:r/>
    </w:p>
    <w:tbl>
      <w:tblPr>
        <w:tblStyle w:val="1018"/>
        <w:tblW w:w="50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3"/>
        <w:gridCol w:w="7693"/>
        <w:gridCol w:w="1043"/>
      </w:tblGrid>
      <w:tr>
        <w:trPr>
          <w:jc w:val="center"/>
          <w:trHeight w:val="618"/>
        </w:trPr>
        <w:tc>
          <w:tcPr>
            <w:tcW w:w="627" w:type="pct"/>
            <w:vAlign w:val="center"/>
            <w:textDirection w:val="lrTb"/>
            <w:noWrap w:val="false"/>
          </w:tcPr>
          <w:p>
            <w:pPr>
              <w:jc w:val="cente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服务</w:t>
            </w:r>
            <w:r>
              <w:rPr>
                <w:rFonts w:hint="eastAsia" w:ascii="宋体" w:hAnsi="宋体" w:eastAsia="宋体" w:cs="宋体"/>
                <w:b/>
                <w:color w:val="auto"/>
                <w:sz w:val="21"/>
                <w:szCs w:val="21"/>
                <w:highlight w:val="none"/>
                <w:lang w:val="en-US" w:eastAsia="zh-CN"/>
              </w:rPr>
              <w:t xml:space="preserve">名称</w:t>
            </w:r>
            <w:r/>
          </w:p>
        </w:tc>
        <w:tc>
          <w:tcPr>
            <w:tcW w:w="3850" w:type="pct"/>
            <w:vAlign w:val="center"/>
            <w:textDirection w:val="lrTb"/>
            <w:noWrap w:val="false"/>
          </w:tcPr>
          <w:p>
            <w:pPr>
              <w:jc w:val="center"/>
              <w:spacing w:line="360" w:lineRule="auto"/>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eastAsia="zh-CN"/>
              </w:rPr>
              <w:t xml:space="preserve">服务内容</w:t>
            </w:r>
            <w:r/>
          </w:p>
        </w:tc>
        <w:tc>
          <w:tcPr>
            <w:tcW w:w="522" w:type="pct"/>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验收结果</w:t>
            </w:r>
            <w:r/>
          </w:p>
        </w:tc>
      </w:tr>
      <w:tr>
        <w:trPr>
          <w:jc w:val="center"/>
          <w:trHeight w:val="385"/>
        </w:trPr>
        <w:tc>
          <w:tcPr>
            <w:tcW w:w="6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一体化数字基座</w:t>
            </w:r>
            <w:r/>
          </w:p>
        </w:tc>
        <w:tc>
          <w:tcPr>
            <w:tcW w:w="3850" w:type="pct"/>
            <w:vAlign w:val="center"/>
            <w:textDirection w:val="lrTb"/>
            <w:noWrap w:val="false"/>
          </w:tcPr>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用户管理:支持对人员信息进行增、删、查、改操作，同时具备批量添加与修改人员信息的功能，确保操作稳定准确。要能够自定义人员角色和部门。允许单位依据自身需求添加角色，且每个角色可单独管理对应的用户。</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2.应用管理:支持学校管理员自主从应用中心添加单位应用，并为应用设置应用管理员，确保操作便捷。能够指定应用所属分类，可对分类进行编辑、删除、上/下移动操作，同时支持对应用进行跨分类拖拽排序。</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3.终端管理:支持移动端、个人空间门户网站的自定义布局。</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4.应用引擎:提供自建表单应用引擎、审批应用引擎、网页应用引擎、查询应用引擎、知识挑战引擎、资源引擎、资讯采集引擎等。</w:t>
            </w:r>
            <w:r/>
          </w:p>
          <w:p>
            <w:pPr>
              <w:pStyle w:val="1252"/>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5.业务系统配置:支持为单位不同角色配置不同的管理后台，确保各角色拥有适配的管理界面。</w:t>
            </w:r>
            <w:r/>
          </w:p>
        </w:tc>
        <w:tc>
          <w:tcPr>
            <w:tcW w:w="522" w:type="pct"/>
            <w:vAlign w:val="center"/>
            <w:textDirection w:val="lrTb"/>
            <w:noWrap w:val="false"/>
          </w:tcPr>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71"/>
        </w:trPr>
        <w:tc>
          <w:tcPr>
            <w:tcW w:w="627"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网络教学系统</w:t>
            </w:r>
            <w:r/>
          </w:p>
        </w:tc>
        <w:tc>
          <w:tcPr>
            <w:tcW w:w="3850" w:type="pct"/>
            <w:vAlign w:val="center"/>
            <w:textDirection w:val="lrTb"/>
            <w:noWrap w:val="false"/>
          </w:tcPr>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网络课程建设:课程负责人可构建慕课或个性化课程网站，发布各类信息，支持原位编辑等功能。能指派课程共建者与助教并设置权限，可上传多种资源，支持多媒体编辑器、慕课制作，还支持日志追溯、示范包建课、章节导入导出等。</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2.学习过程控制与管理:教师可对章节学习内容推送进行控制，支持任务驱动式进阶学习，能监督跟踪学习过程，含人脸识别。视频播放有防拖拽等功能，可发放证书、开启复习模式</w:t>
            </w:r>
            <w:r>
              <w:rPr>
                <w:rFonts w:hint="eastAsia" w:ascii="宋体" w:hAnsi="宋体" w:eastAsia="宋体" w:cs="宋体"/>
                <w:color w:val="auto"/>
                <w:sz w:val="21"/>
                <w:szCs w:val="21"/>
                <w:highlight w:val="none"/>
                <w:lang w:val="en-US" w:eastAsia="zh-CN" w:bidi="ar-SA"/>
              </w:rPr>
              <w:t xml:space="preserve">。</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3.教学资源管理:题库管理包括加密、题型支持、导入、分文件夹管理等功能。试卷管理有自动、手动组卷，封存、编辑、导出等操作。考试管理含时间设置、切屏监控等。</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4.学习统计功能:成绩统计可对课程各项做权重设置，统计学生成绩及排名，能导入线下成绩。作业/考试统计分析为教师提供作业和考试的各类统计分析数据，助力教师了解教学情况，调整教学策略。</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5.个人空间:课程建设等通过空间完成，教师学生空间分别包含所教所学课程。个人空间含个人云盘可上传下载文件，有小组用于交流，还具备问卷调查等。</w:t>
            </w:r>
            <w:r/>
          </w:p>
          <w:p>
            <w:pPr>
              <w:pStyle w:val="1252"/>
              <w:ind w:firstLine="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bidi="ar-SA"/>
              </w:rPr>
              <w:t xml:space="preserve">6.教学资源库建设:与网络教学平台无缝对接，方便教师教学与学生学习。资源库包含经著作权人授权的电子书，可在线阅读与文字摘录；还有名校名师的学术视频，涵盖多所知名高校课程视频及讲座，能在线播放，无版权问题。</w:t>
            </w:r>
            <w:r/>
          </w:p>
        </w:tc>
        <w:tc>
          <w:tcPr>
            <w:tcW w:w="522" w:type="pct"/>
            <w:vAlign w:val="center"/>
            <w:textDirection w:val="lrTb"/>
            <w:noWrap w:val="false"/>
          </w:tcPr>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71"/>
        </w:trPr>
        <w:tc>
          <w:tcPr>
            <w:tcW w:w="627"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课堂互动系统</w:t>
            </w:r>
            <w:r/>
          </w:p>
        </w:tc>
        <w:tc>
          <w:tcPr>
            <w:tcW w:w="3850" w:type="pct"/>
            <w:vAlign w:val="center"/>
            <w:textDirection w:val="lrTb"/>
            <w:noWrap w:val="false"/>
          </w:tcPr>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1.现场教学:支持多种资料不借助第三方软件投屏，可手机建课、录速课，能账号登录；投屏可主题讨论、章节、PPT、活动等。</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移动教学:有适配多系统的移动客户端，PC端与移动端学习进度同步；教师可发布多种课堂活动，课后生成记录；能形成交流群，支持资料云盘存储推送；学生可查作业、考试，课堂表现可积分评价；可阅读分享资源。</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3.教学平台后台管理:可管理课程、用户等，能统计教学、学习、课程等情况。</w:t>
            </w:r>
            <w:r/>
          </w:p>
        </w:tc>
        <w:tc>
          <w:tcPr>
            <w:tcW w:w="522" w:type="pct"/>
            <w:vAlign w:val="center"/>
            <w:textDirection w:val="lrTb"/>
            <w:noWrap w:val="false"/>
          </w:tcPr>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71"/>
        </w:trPr>
        <w:tc>
          <w:tcPr>
            <w:tcW w:w="627"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大数据分析系统</w:t>
            </w:r>
            <w:r/>
          </w:p>
        </w:tc>
        <w:tc>
          <w:tcPr>
            <w:tcW w:w="3850" w:type="pct"/>
            <w:vAlign w:val="center"/>
            <w:textDirection w:val="lrTb"/>
            <w:noWrap w:val="false"/>
          </w:tcPr>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PC端可视化分析系统:提供多维度数据统计，涵盖综合、基础、教师教学、学生学习及出勤分析等；自动生成教学运行报告；提供课程、学生、教师档案；支持AI数据问答、报告及报表功能，可自定义查询、生成分析报告并导出，实现高效数据管理与分析。</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移动端监控平台:支持多终端展示，可实时查看学校大数据，包括教学、学情、签到、资源及日常监控，打破时间地域限制；涵盖教学、学情、签到、资源及日常全方位监控；提供师生档案检索，查看教学与学习数据，实现移动实时监控。</w:t>
            </w:r>
            <w:r/>
          </w:p>
          <w:p>
            <w:pPr>
              <w:pStyle w:val="1252"/>
              <w:ind w:firstLine="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bidi="ar-SA"/>
              </w:rPr>
              <w:t xml:space="preserve">3.大数据展示屏:展示云平台总体情况，包括整体数据概况、课程基础数据、实时动态、师生考勤、师生活跃及资源建设数据；支持页面展示管理，可编辑布局、筛选信息；数据展示来源多样，支持编辑修正，提高展示真实效果。</w:t>
            </w:r>
            <w:r/>
          </w:p>
        </w:tc>
        <w:tc>
          <w:tcPr>
            <w:tcW w:w="522" w:type="pct"/>
            <w:vAlign w:val="center"/>
            <w:textDirection w:val="lrTb"/>
            <w:noWrap w:val="false"/>
          </w:tcPr>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71"/>
        </w:trPr>
        <w:tc>
          <w:tcPr>
            <w:tcW w:w="627"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AI教学</w:t>
            </w:r>
            <w:r/>
          </w:p>
        </w:tc>
        <w:tc>
          <w:tcPr>
            <w:tcW w:w="3850" w:type="pct"/>
            <w:vAlign w:val="center"/>
            <w:textDirection w:val="lrTb"/>
            <w:noWrap w:val="false"/>
          </w:tcPr>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任务引擎:课程任务引擎涵盖任务创建、删除、AI生成、编辑、分组、资源添加等；支持自定义任务点功能与完成条件，可进行共建克隆等操作，提供任务统计与督学功能；学生任务引擎支持学生查看任务、学习路径切换、查看证书等。</w:t>
            </w:r>
            <w:r/>
          </w:p>
          <w:p>
            <w:pPr>
              <w:pStyle w:val="1252"/>
              <w:ind w:firstLine="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bidi="ar-SA"/>
              </w:rPr>
              <w:t xml:space="preserve">2.AI工作台:涵盖AI教案生成、PPT制作、智能编写、校正、写作辅助、文档与视频解析、智能出题、口语测评、语音生成、程序题评分、公式识别、查重、OCR识别、主观题批阅、学生自测、试卷评估、AIGC检测、AI实践、文献视频理解、学情分析等多方面AI工具。</w:t>
            </w:r>
            <w:r/>
          </w:p>
        </w:tc>
        <w:tc>
          <w:tcPr>
            <w:tcW w:w="522" w:type="pct"/>
            <w:vAlign w:val="center"/>
            <w:textDirection w:val="lrTb"/>
            <w:noWrap w:val="false"/>
          </w:tcPr>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71"/>
        </w:trPr>
        <w:tc>
          <w:tcPr>
            <w:tcW w:w="627"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能力图谱</w:t>
            </w:r>
            <w:r/>
          </w:p>
        </w:tc>
        <w:tc>
          <w:tcPr>
            <w:tcW w:w="3850" w:type="pct"/>
            <w:vAlign w:val="center"/>
            <w:textDirection w:val="lrTb"/>
            <w:noWrap w:val="false"/>
          </w:tcPr>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能力图谱构建:验收要求为支持多层级架构建立子父级能力点关系；多种构建方式，包括手动、批量、智能、本地导入等；支持AI生成、自定义编辑、任意拖动等；可自由上传图标作背景，知识点显隐设置等，满足多样化构建需求。</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2.图谱管理:建立教务课程 - 知识点体系管理框架；对课程类别、性质增删改查；关联专业生成图谱；为不同课程建独立图谱；设置知识点关系、自定义关联、打标签等。</w:t>
            </w:r>
            <w:r/>
          </w:p>
          <w:p>
            <w:pPr>
              <w:pStyle w:val="1252"/>
              <w:ind w:firstLine="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bidi="ar-SA"/>
              </w:rPr>
              <w:t xml:space="preserve">3.图谱展示:具备自定义图谱功能，可自定义名称与样式；能力图谱可定制课程能力、添加标签、详细说明、修改内容、检索、关联知识点、图谱展现关联；问题图谱能定义问题。</w:t>
            </w:r>
            <w:r/>
          </w:p>
        </w:tc>
        <w:tc>
          <w:tcPr>
            <w:tcW w:w="522" w:type="pct"/>
            <w:vAlign w:val="center"/>
            <w:textDirection w:val="lrTb"/>
            <w:noWrap w:val="false"/>
          </w:tcPr>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71"/>
        </w:trPr>
        <w:tc>
          <w:tcPr>
            <w:tcW w:w="627"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智能体</w:t>
            </w:r>
            <w:r/>
          </w:p>
        </w:tc>
        <w:tc>
          <w:tcPr>
            <w:tcW w:w="3850" w:type="pct"/>
            <w:vAlign w:val="center"/>
            <w:textDirection w:val="lrTb"/>
            <w:noWrap w:val="false"/>
          </w:tcPr>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1.通用大语言模型对接:支持按学校需求对接通用大语言模型，涵盖自有模型及 Kimi、豆包、文心一言、deepseek 等多个常见大模型，满足学校多样化模型接入需求。</w:t>
            </w:r>
            <w:r/>
          </w:p>
          <w:p>
            <w:pPr>
              <w:pStyle w:val="1252"/>
              <w:ind w:firstLine="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bidi="ar-SA"/>
              </w:rPr>
              <w:t xml:space="preserve">2.课程专属智能体训练:知识库建设方面，支持多种资源上传训练，可查看状态、来源等，能自定义分类与批量操作文件。AI问答库支持问答规则多种操作，答案形式多样，可解析上传文档。任务流智能体可低代码搭建。</w:t>
            </w:r>
            <w:r/>
          </w:p>
        </w:tc>
        <w:tc>
          <w:tcPr>
            <w:tcW w:w="522" w:type="pct"/>
            <w:vAlign w:val="center"/>
            <w:textDirection w:val="lrTb"/>
            <w:noWrap w:val="false"/>
          </w:tcPr>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71"/>
        </w:trPr>
        <w:tc>
          <w:tcPr>
            <w:tcW w:w="627"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校本数字教材平台</w:t>
            </w:r>
            <w:r/>
          </w:p>
        </w:tc>
        <w:tc>
          <w:tcPr>
            <w:tcW w:w="3850" w:type="pct"/>
            <w:vAlign w:val="center"/>
            <w:textDirection w:val="lrTb"/>
            <w:noWrap w:val="false"/>
          </w:tcPr>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1.数字教材展示平台:支持分板块展示教材分类及封面等信息，可个性化定制页面美工；教材门户能查看版权等内容，在线预览资源；可查看建设情况；展示编写团队；提供编写与管理快捷入口。</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2.数字教材编辑系统:支持自主创建教材并填写信息，可创建多本与删除；能自主申请出版；可管理编写团队；提供编辑器，支持目录与文档结构管理。</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3.数字教材教学应用系统:满足多终端适配，支持多种教学模式；提供丰富教材供选择；支持两种采购模式；学生可自学或跟班学习。</w:t>
            </w:r>
            <w:r/>
          </w:p>
          <w:p>
            <w:pPr>
              <w:pStyle w:val="1252"/>
              <w:ind w:firstLine="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bidi="ar-SA"/>
              </w:rPr>
              <w:t xml:space="preserve">4.数字教材后台管理系统:管理员可进行教材上下架、单本或批量发布，编辑版权信息，设置付费免费；可查看资源统计与详情、引用数据；支持角色设置与权限分配；能管理用户账号，移出或添加用户；支持用户多角色叠加切换。</w:t>
            </w:r>
            <w:r/>
          </w:p>
        </w:tc>
        <w:tc>
          <w:tcPr>
            <w:tcW w:w="522" w:type="pct"/>
            <w:vAlign w:val="center"/>
            <w:textDirection w:val="lrTb"/>
            <w:noWrap w:val="false"/>
          </w:tcPr>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71"/>
        </w:trPr>
        <w:tc>
          <w:tcPr>
            <w:tcW w:w="627"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虚拟教研室平台</w:t>
            </w:r>
            <w:r/>
          </w:p>
        </w:tc>
        <w:tc>
          <w:tcPr>
            <w:tcW w:w="3850" w:type="pct"/>
            <w:vAlign w:val="center"/>
            <w:textDirection w:val="lrTb"/>
            <w:noWrap w:val="false"/>
          </w:tcPr>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1.教研组管理:支持教务处管理员、教研室成员与主任等不同身份，各有职责。可进行教研室信息管理，如创建名称、编辑介绍等。</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2.教研组基础信息管理:教研室主任能查阅编辑封面与文本介绍，可设置是否展示于广场，方便成员加入。负责人享有模块设置编辑权，能调整首页布局、导航栏顺序，满足多样展示需求。</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3.教研组活动:涵盖一站式教研活动管理，业务流程一体化，从发布到成果统计都有涉及。活动失信有管理设置，报名审核灵活，签到形式多样，还支持自研会议系统。</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4.教研成果共建:支持教研室成员上传、查看、编辑专利、课程等内容文件，可修改删除、调整文件夹名称并分配权限。</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5.资源共建共享:共建资源模块涵盖电子教材、会议记录、教学视频等；共建课程模块支持教师团队编辑课程、共建资料库；共建题库模块支持习题共享共建、分类管理与检索。</w:t>
            </w:r>
            <w:r/>
          </w:p>
          <w:p>
            <w:pPr>
              <w:pStyle w:val="1252"/>
              <w:ind w:firstLine="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bidi="ar-SA"/>
              </w:rPr>
              <w:t xml:space="preserve">6.数据统计:教研室总览统计全校虚拟教研室总数、成员总数、教研活动次数等，全面了解教研室整体情况。</w:t>
            </w:r>
            <w:r/>
          </w:p>
        </w:tc>
        <w:tc>
          <w:tcPr>
            <w:tcW w:w="522" w:type="pct"/>
            <w:vAlign w:val="center"/>
            <w:textDirection w:val="lrTb"/>
            <w:noWrap w:val="false"/>
          </w:tcPr>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71"/>
        </w:trPr>
        <w:tc>
          <w:tcPr>
            <w:tcW w:w="627"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校级竞赛管理系统</w:t>
            </w:r>
            <w:r/>
          </w:p>
        </w:tc>
        <w:tc>
          <w:tcPr>
            <w:tcW w:w="3850" w:type="pct"/>
            <w:vAlign w:val="center"/>
            <w:textDirection w:val="lrTb"/>
            <w:noWrap w:val="false"/>
          </w:tcPr>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1.角色管理:支持竞赛人员管理，可按大赛要求设不同角色与权限。能自定义报名及个人资料字段，支持再次编辑。可管理作品，暂存编辑，还能查看资料视频，评审专家有专属页面。</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2.竞赛管理:可发布多个校级竞赛并灵活设置。支持制作大赛规则，限制报名对象等。能设置作品审核、下载等。可灵活配置不同界面模块内容，对管理模块功能字段设置，还能按赛事要求进行权限设置。</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3.竞赛报名管理:参赛人员可在线报名提交信息。管理人员能在后台对参赛人员信息进行查看、删除、导出等操作，还能按选手查询筛选，查看报名详情，勾选显示字段，下载导出报名信息。</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4.评审专家管理:支持从专家库勾选、批量导入添加评审专家，可自定义设置专家组。</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5.作品评审:支持手动、随机分配评审作品，可设随机分配规则，自定义评审指标，选择评审方式，查看评审进度。专家个人中心可查看作品详情、打分、填意见，还支持赛序抽签功能。</w:t>
            </w:r>
            <w:r/>
          </w:p>
          <w:p>
            <w:pPr>
              <w:pStyle w:val="1252"/>
              <w:ind w:firstLine="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bidi="ar-SA"/>
              </w:rPr>
              <w:t xml:space="preserve">6.作品评审结果:支持查看作品评审各项得分及实际得分，添加获奖等级。</w:t>
            </w:r>
            <w:r/>
          </w:p>
        </w:tc>
        <w:tc>
          <w:tcPr>
            <w:tcW w:w="522" w:type="pct"/>
            <w:vAlign w:val="center"/>
            <w:textDirection w:val="lrTb"/>
            <w:noWrap w:val="false"/>
          </w:tcPr>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71"/>
        </w:trPr>
        <w:tc>
          <w:tcPr>
            <w:tcW w:w="627"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教师教学能力提升课程资源</w:t>
            </w:r>
            <w:r/>
          </w:p>
        </w:tc>
        <w:tc>
          <w:tcPr>
            <w:tcW w:w="3850" w:type="pct"/>
            <w:vAlign w:val="center"/>
            <w:textDirection w:val="lrTb"/>
            <w:noWrap w:val="false"/>
          </w:tcPr>
          <w:p>
            <w:pPr>
              <w:pStyle w:val="1252"/>
              <w:ind w:firstLine="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bidi="ar-SA"/>
              </w:rPr>
              <w:t xml:space="preserve">提供1000+门在线课程列表，显示不同课程分类，查看课程学时学分，一键加入报名；并且支持报名直播讲堂，加入直播讲堂，观看每期直播，评论区发表留言，可支持回看，查看往期直播列表。</w:t>
            </w:r>
            <w:r/>
          </w:p>
        </w:tc>
        <w:tc>
          <w:tcPr>
            <w:tcW w:w="522" w:type="pct"/>
            <w:vAlign w:val="center"/>
            <w:textDirection w:val="lrTb"/>
            <w:noWrap w:val="false"/>
          </w:tcPr>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938"/>
        </w:trPr>
        <w:tc>
          <w:tcPr>
            <w:tcW w:w="627"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一体化教学门户网站</w:t>
            </w:r>
            <w:r/>
          </w:p>
        </w:tc>
        <w:tc>
          <w:tcPr>
            <w:tcW w:w="3850" w:type="pct"/>
            <w:vAlign w:val="center"/>
            <w:textDirection w:val="lrTb"/>
            <w:noWrap w:val="false"/>
          </w:tcPr>
          <w:p>
            <w:pPr>
              <w:pStyle w:val="1252"/>
              <w:ind w:firstLine="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bidi="ar-SA"/>
              </w:rPr>
              <w:t xml:space="preserve">帮助学校建设个性化门户网站，展示学校精品课程，发布新闻公告，活跃班级信息、名师风采展示等，个性化导航栏可以自定义配置。</w:t>
            </w:r>
            <w:r/>
          </w:p>
        </w:tc>
        <w:tc>
          <w:tcPr>
            <w:tcW w:w="522" w:type="pct"/>
            <w:vAlign w:val="center"/>
            <w:textDirection w:val="lrTb"/>
            <w:noWrap w:val="false"/>
          </w:tcPr>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71"/>
        </w:trPr>
        <w:tc>
          <w:tcPr>
            <w:tcW w:w="627"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项目实施服务需求</w:t>
            </w:r>
            <w:r/>
          </w:p>
        </w:tc>
        <w:tc>
          <w:tcPr>
            <w:tcW w:w="3850" w:type="pct"/>
            <w:vAlign w:val="center"/>
            <w:textDirection w:val="lrTb"/>
            <w:noWrap w:val="false"/>
          </w:tcPr>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1.数据接口服务:与学校数据中台对接教师、学生信息到教学平台。</w:t>
            </w:r>
            <w:r/>
          </w:p>
          <w:p>
            <w:pPr>
              <w:pStyle w:val="1252"/>
              <w:ind w:firstLine="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bidi="ar-SA"/>
              </w:rPr>
              <w:t xml:space="preserve">2.统一身份认证服务:与学校统一身份认证系统对接。</w:t>
            </w:r>
            <w:r/>
          </w:p>
        </w:tc>
        <w:tc>
          <w:tcPr>
            <w:tcW w:w="522" w:type="pct"/>
            <w:vAlign w:val="center"/>
            <w:textDirection w:val="lrTb"/>
            <w:noWrap w:val="false"/>
          </w:tcPr>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80"/>
        </w:trPr>
        <w:tc>
          <w:tcPr>
            <w:gridSpan w:val="2"/>
            <w:tcW w:w="4477" w:type="pct"/>
            <w:vAlign w:val="center"/>
            <w:textDirection w:val="lrTb"/>
            <w:noWrap w:val="false"/>
          </w:tcPr>
          <w:p>
            <w:pPr>
              <w:jc w:val="left"/>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color w:val="auto"/>
                <w:sz w:val="21"/>
                <w:szCs w:val="21"/>
                <w:highlight w:val="none"/>
              </w:rPr>
              <w:t xml:space="preserve">部门（签字盖章）</w:t>
            </w:r>
            <w:r>
              <w:rPr>
                <w:rFonts w:hint="eastAsia" w:ascii="宋体" w:hAnsi="宋体" w:eastAsia="宋体" w:cs="宋体"/>
                <w:color w:val="auto"/>
                <w:sz w:val="21"/>
                <w:szCs w:val="21"/>
                <w:highlight w:val="none"/>
                <w:lang w:eastAsia="zh-CN"/>
              </w:rPr>
              <w:t xml:space="preserve">:</w:t>
            </w:r>
            <w:r/>
          </w:p>
        </w:tc>
        <w:tc>
          <w:tcPr>
            <w:tcW w:w="522" w:type="pct"/>
            <w:vAlign w:val="center"/>
            <w:textDirection w:val="lrTb"/>
            <w:noWrap w:val="false"/>
          </w:tcPr>
          <w:p>
            <w:pPr>
              <w:jc w:val="left"/>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color w:val="auto"/>
                <w:sz w:val="21"/>
                <w:szCs w:val="21"/>
                <w:highlight w:val="none"/>
              </w:rPr>
              <w:t xml:space="preserve">项目负责人</w:t>
            </w:r>
            <w:r>
              <w:rPr>
                <w:rFonts w:hint="eastAsia" w:ascii="宋体" w:hAnsi="宋体" w:eastAsia="宋体" w:cs="宋体"/>
                <w:color w:val="auto"/>
                <w:sz w:val="21"/>
                <w:szCs w:val="21"/>
                <w:highlight w:val="none"/>
                <w:lang w:eastAsia="zh-CN"/>
              </w:rPr>
              <w:t xml:space="preserve">:</w:t>
            </w:r>
            <w:r/>
          </w:p>
        </w:tc>
      </w:tr>
    </w:tbl>
    <w:p>
      <w:pPr>
        <w:pStyle w:val="981"/>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（2）年度服务考核表</w:t>
      </w:r>
      <w:r/>
    </w:p>
    <w:tbl>
      <w:tblPr>
        <w:tblStyle w:val="1018"/>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6"/>
        <w:gridCol w:w="7847"/>
        <w:gridCol w:w="1237"/>
      </w:tblGrid>
      <w:tr>
        <w:trPr>
          <w:jc w:val="center"/>
          <w:trHeight w:val="618"/>
        </w:trPr>
        <w:tc>
          <w:tcPr>
            <w:tcW w:w="547" w:type="pct"/>
            <w:vAlign w:val="center"/>
            <w:textDirection w:val="lrTb"/>
            <w:noWrap w:val="false"/>
          </w:tcPr>
          <w:p>
            <w:pPr>
              <w:jc w:val="cente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服务</w:t>
            </w:r>
            <w:r>
              <w:rPr>
                <w:rFonts w:hint="eastAsia" w:ascii="宋体" w:hAnsi="宋体" w:eastAsia="宋体" w:cs="宋体"/>
                <w:b/>
                <w:color w:val="auto"/>
                <w:sz w:val="21"/>
                <w:szCs w:val="21"/>
                <w:highlight w:val="none"/>
                <w:lang w:val="en-US" w:eastAsia="zh-CN"/>
              </w:rPr>
              <w:t xml:space="preserve">名称</w:t>
            </w:r>
            <w:r/>
          </w:p>
        </w:tc>
        <w:tc>
          <w:tcPr>
            <w:tcW w:w="3845" w:type="pct"/>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服务内容</w:t>
            </w:r>
            <w:r/>
          </w:p>
        </w:tc>
        <w:tc>
          <w:tcPr>
            <w:tcW w:w="606" w:type="pct"/>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评价分值</w:t>
            </w:r>
            <w:r/>
          </w:p>
        </w:tc>
      </w:tr>
      <w:tr>
        <w:trPr>
          <w:jc w:val="center"/>
          <w:trHeight w:val="385"/>
        </w:trPr>
        <w:tc>
          <w:tcPr>
            <w:tcW w:w="547" w:type="pct"/>
            <w:vAlign w:val="center"/>
            <w:textDirection w:val="lrTb"/>
            <w:noWrap w:val="false"/>
          </w:tcPr>
          <w:p>
            <w:pPr>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运维</w:t>
            </w:r>
            <w:r/>
          </w:p>
          <w:p>
            <w:pPr>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服务</w:t>
            </w:r>
            <w:r/>
          </w:p>
        </w:tc>
        <w:tc>
          <w:tcPr>
            <w:tcW w:w="3845" w:type="pct"/>
            <w:vAlign w:val="center"/>
            <w:textDirection w:val="lrTb"/>
            <w:noWrap w:val="false"/>
          </w:tcPr>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对平台产生的不同程度的问题，进行及时响应并解决问题。</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（1）一级问题:系统无法运作，而且没有任何暂时性的解决方案；或者虽有暂时性的解决方案，但影响到使用者正常使用；或系统可以运作，但存在信息安全问题或信息丢失。</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需承诺的服务方案:1 小时内做出响应、2 小时内与客户讨论解决方案、3小时内提供现场技术支持、8小时内解决问题。</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（2）二级问题:系统可以运作，但功能已受到严重影响；系统性能受到严重影响或出现其它未知异常现象；大规模范围出现使用者使用速度明显偏慢。</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需承诺的服务方案:4小时内做出响应、12小时内与客户讨论解决方案、24小时内提供现场技术支持、48小时内解决问题。</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（3）三级问题:系统可以运作，但出现小范围的功能问题或者性能问题，采取修改配置等措施后仍无法正常运转。</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需承诺的服务方案:8小时内做出响应、48 小时内提供现场技术支持、72小时内解决问题。</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（4）四级问题:客户有问题询问或是功能方面的加强。</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需承诺的服务方案:48小时内做出响应、72小时内解决问题、问题解决后知会有关部门。</w:t>
            </w:r>
            <w:r/>
          </w:p>
        </w:tc>
        <w:tc>
          <w:tcPr>
            <w:tcW w:w="606" w:type="pct"/>
            <w:vAlign w:val="center"/>
            <w:textDirection w:val="lrTb"/>
            <w:noWrap w:val="false"/>
          </w:tcPr>
          <w:p>
            <w:pPr>
              <w:jc w:val="cente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5分</w:t>
            </w:r>
            <w:r/>
          </w:p>
        </w:tc>
      </w:tr>
      <w:tr>
        <w:trPr>
          <w:jc w:val="center"/>
          <w:trHeight w:val="385"/>
        </w:trPr>
        <w:tc>
          <w:tcPr>
            <w:tcW w:w="547" w:type="pct"/>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val="en-US" w:eastAsia="zh-CN"/>
              </w:rPr>
              <w:t xml:space="preserve">培训答疑服务</w:t>
            </w:r>
            <w:r/>
          </w:p>
        </w:tc>
        <w:tc>
          <w:tcPr>
            <w:tcW w:w="3845" w:type="pct"/>
            <w:vAlign w:val="center"/>
            <w:textDirection w:val="lrTb"/>
            <w:noWrap w:val="false"/>
          </w:tcPr>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1.培训资料</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（1）提供不同角色使用者的使用手册，包含:管理员使用手册、教师使用手册、学生使用手册等。</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（2）针对不同使用者录制使用帮助微视频，方便使用者学习使用。</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2.培训服务</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分别提供针对平台管理员、教师和学生等角色的专门培训服务，培训时间、时长及场次以采购人需要为准。每学年开展校级培训不少于两场次，并下沉至各二级教学院部开展培训不少于一场次，并根据学校教学改革需求、课程建设及运行需求协助学校邀请专家培训讲座。</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3.答疑服务</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需要提供现场答疑、电话答疑、在线客服、本地客服等形式的答疑服务。具体响应时间要求如下:</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（1）现场答疑:根据学校需求，提供5*12小时驻场服务，随时解答师生使用过程出现的问题。</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（2）上门答疑:教师提出需求后，在1小时内提供上门答疑，针对使用者的使用问题进行解答，不限时长，以全部问题解决为准。</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（3）电话答疑:提供服务人员的电话，使用者有问题时可拨打电话，随时进行沟通，工作日要求8:00-22:00，非工作日要求8:00-20:00。</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（4）在线客服:平台提供在线客服入口，提供7*24小时的在线咨询服务。</w:t>
            </w:r>
            <w:r/>
          </w:p>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（5）本地客服:</w:t>
            </w:r>
            <w:r>
              <w:rPr>
                <w:rFonts w:hint="eastAsia" w:ascii="宋体" w:hAnsi="宋体" w:eastAsia="宋体" w:cs="宋体"/>
                <w:color w:val="auto"/>
                <w:sz w:val="21"/>
                <w:szCs w:val="21"/>
                <w:highlight w:val="none"/>
                <w:lang w:val="en-US" w:eastAsia="zh-CN" w:bidi="ar-SA"/>
              </w:rPr>
              <w:t xml:space="preserve">投标人</w:t>
            </w:r>
            <w:r>
              <w:rPr>
                <w:rFonts w:hint="eastAsia" w:ascii="宋体" w:hAnsi="宋体" w:eastAsia="宋体" w:cs="宋体"/>
                <w:color w:val="auto"/>
                <w:sz w:val="21"/>
                <w:szCs w:val="21"/>
                <w:highlight w:val="none"/>
                <w:lang w:val="en-US" w:eastAsia="zh-CN" w:bidi="ar-SA"/>
              </w:rPr>
              <w:t xml:space="preserve">须提供不少于5人的本地客服团队，专门维护学校的用户群，提供咨询服务。</w:t>
            </w:r>
            <w:r/>
          </w:p>
        </w:tc>
        <w:tc>
          <w:tcPr>
            <w:tcW w:w="606" w:type="pct"/>
            <w:vAlign w:val="center"/>
            <w:textDirection w:val="lrTb"/>
            <w:noWrap w:val="false"/>
          </w:tcPr>
          <w:p>
            <w:pPr>
              <w:jc w:val="cente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3分</w:t>
            </w:r>
            <w:r/>
          </w:p>
        </w:tc>
      </w:tr>
      <w:tr>
        <w:trPr>
          <w:jc w:val="center"/>
          <w:trHeight w:val="371"/>
        </w:trPr>
        <w:tc>
          <w:tcPr>
            <w:tcW w:w="547" w:type="pct"/>
            <w:vAlign w:val="center"/>
            <w:textDirection w:val="lrTb"/>
            <w:noWrap w:val="false"/>
          </w:tcPr>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项目实施服务需求</w:t>
            </w:r>
            <w:r/>
          </w:p>
        </w:tc>
        <w:tc>
          <w:tcPr>
            <w:tcW w:w="3845" w:type="pct"/>
            <w:vAlign w:val="center"/>
            <w:textDirection w:val="lrTb"/>
            <w:noWrap w:val="false"/>
          </w:tcPr>
          <w:p>
            <w:pPr>
              <w:pStyle w:val="1252"/>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平台数据共享服务:平台运行产生的各种基础数据以中间库的形式提供给学校，汇入到学校公有数据池，实现数据共享。</w:t>
            </w:r>
            <w:r/>
          </w:p>
        </w:tc>
        <w:tc>
          <w:tcPr>
            <w:tcW w:w="606" w:type="pct"/>
            <w:vAlign w:val="center"/>
            <w:textDirection w:val="lrTb"/>
            <w:noWrap w:val="false"/>
          </w:tcPr>
          <w:p>
            <w:pPr>
              <w:jc w:val="cente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2分</w:t>
            </w:r>
            <w:r/>
          </w:p>
        </w:tc>
      </w:tr>
      <w:tr>
        <w:trPr>
          <w:jc w:val="center"/>
          <w:trHeight w:val="842"/>
        </w:trPr>
        <w:tc>
          <w:tcPr>
            <w:gridSpan w:val="2"/>
            <w:tcW w:w="4393" w:type="pct"/>
            <w:vAlign w:val="center"/>
            <w:textDirection w:val="lrTb"/>
            <w:noWrap w:val="false"/>
          </w:tcPr>
          <w:p>
            <w:pPr>
              <w:jc w:val="left"/>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color w:val="auto"/>
                <w:sz w:val="21"/>
                <w:szCs w:val="21"/>
                <w:highlight w:val="none"/>
              </w:rPr>
              <w:t xml:space="preserve">部门（签字盖章）</w:t>
            </w:r>
            <w:r>
              <w:rPr>
                <w:rFonts w:hint="eastAsia" w:ascii="宋体" w:hAnsi="宋体" w:eastAsia="宋体" w:cs="宋体"/>
                <w:color w:val="auto"/>
                <w:sz w:val="21"/>
                <w:szCs w:val="21"/>
                <w:highlight w:val="none"/>
                <w:lang w:eastAsia="zh-CN"/>
              </w:rPr>
              <w:t xml:space="preserve">:</w:t>
            </w:r>
            <w:r/>
          </w:p>
        </w:tc>
        <w:tc>
          <w:tcPr>
            <w:tcW w:w="606" w:type="pct"/>
            <w:vAlign w:val="center"/>
            <w:textDirection w:val="lrTb"/>
            <w:noWrap w:val="false"/>
          </w:tcPr>
          <w:p>
            <w:pPr>
              <w:jc w:val="left"/>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color w:val="auto"/>
                <w:sz w:val="21"/>
                <w:szCs w:val="21"/>
                <w:highlight w:val="none"/>
              </w:rPr>
              <w:t xml:space="preserve">项目负责人</w:t>
            </w:r>
            <w:r>
              <w:rPr>
                <w:rFonts w:hint="eastAsia" w:ascii="宋体" w:hAnsi="宋体" w:eastAsia="宋体" w:cs="宋体"/>
                <w:color w:val="auto"/>
                <w:sz w:val="21"/>
                <w:szCs w:val="21"/>
                <w:highlight w:val="none"/>
                <w:lang w:eastAsia="zh-CN"/>
              </w:rPr>
              <w:t xml:space="preserve">:</w:t>
            </w:r>
            <w:bookmarkEnd w:id="278"/>
            <w:r/>
            <w:r/>
          </w:p>
        </w:tc>
      </w:tr>
    </w:tbl>
    <w:p>
      <w:p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五、履约保证金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为保障合同的有效履行，首次签订合同前，乙方应先缴纳每年合同额的5%的履约保证金，计</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元（大写</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自行收取，承诺的质保期（服务期）满后15个工作日内退还履约保证金（无息）</w:t>
      </w:r>
      <w:r>
        <w:rPr>
          <w:rFonts w:hint="eastAsia" w:ascii="宋体" w:hAnsi="宋体" w:eastAsia="宋体" w:cs="宋体"/>
          <w:color w:val="auto"/>
          <w:sz w:val="24"/>
          <w:szCs w:val="24"/>
          <w:highlight w:val="none"/>
          <w:lang w:eastAsia="zh-CN"/>
        </w:rPr>
        <w:t xml:space="preserve">。</w:t>
      </w:r>
      <w:r/>
    </w:p>
    <w:p>
      <w:pPr>
        <w:contextualSpacing/>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交付期限、实施地点</w:t>
      </w:r>
      <w:r/>
    </w:p>
    <w:p>
      <w:pPr>
        <w:contextualSpacing/>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交付期限:合同签订生效后20个工作日内实施完成并交付使用。</w:t>
      </w:r>
      <w:r/>
    </w:p>
    <w:p>
      <w:pPr>
        <w:contextualSpacing/>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实施地点:甲方指定地点</w:t>
      </w:r>
      <w:r/>
    </w:p>
    <w:p>
      <w:pPr>
        <w:contextualSpacing/>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七、结算及付款方式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279" w:name="_Toc8110552"/>
      <w:r/>
      <w:bookmarkStart w:id="280" w:name="_Toc2357"/>
      <w:r/>
      <w:bookmarkStart w:id="281" w:name="_Toc21037"/>
      <w:r/>
      <w:bookmarkStart w:id="282" w:name="_Toc4420"/>
      <w:r/>
      <w:bookmarkStart w:id="283" w:name="_Hlk515567456"/>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按项目要求实施完毕，经</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验收并签署“平台开通实施验收表”后，支付第一年平台服务费用；2026年下半年对第一年售后服务按照“年度服务考核表”进行考核，考核合格后，支付第二年平台服务费用；2027年下半年对第二年售后服务按照“年度服务考核表”进行考核，考核合格后，支付95%的第三年平台服务费用；剩余5%的第三年平台服务费于服务期满后7个工作日内支付完毕。如考核不合格，</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有权无条件终止合同。</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w:t>
      </w:r>
      <w:bookmarkEnd w:id="279"/>
      <w:r/>
      <w:bookmarkEnd w:id="280"/>
      <w:r/>
      <w:bookmarkEnd w:id="281"/>
      <w:r/>
      <w:bookmarkEnd w:id="282"/>
      <w:r>
        <w:rPr>
          <w:rFonts w:hint="eastAsia" w:ascii="宋体" w:hAnsi="宋体" w:eastAsia="宋体" w:cs="宋体"/>
          <w:b/>
          <w:color w:val="auto"/>
          <w:sz w:val="24"/>
          <w:szCs w:val="24"/>
          <w:highlight w:val="none"/>
        </w:rPr>
        <w:t xml:space="preserve">违约责任</w:t>
      </w:r>
      <w:bookmarkEnd w:id="283"/>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1.任何一方违反本合同约定，违约方应当按照本协议的约定向守约方支付违约金。违约金不足以弥补守约方损害的，应当按照守约方实际损失数额赔偿。</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2.乙方未按合同规定的技术要求或考核指标完成，按照以下每一单项累计罚款，累计罚款总数不超过合同总额的30%；</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（1）未按期完成，每延期一周（不足一周按一周计算）需向甲方支付合同总额1%的罚款；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（2）未按技术要求或考核指标完成一般技术指标及功能要求，每一项未完成技术指标或功能需向甲方支付合同总额1%的罚款；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（3）未按技术要求或考核指标完成关键技术指标或功能要求的，按未完成合同工作内容处理，乙方除返还甲方已支付的全部合同款外，应向甲方额外支付合同总额30%的罚款；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3.甲方未按照合同约定提供必要条件的，乙方有权要求顺延合同期限，由此造成的损失由甲方自行承担。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4.违约方承担违约责任后，如合同可以继续履行，仍应当按照协议约定履行其义务。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5.其他（根据实际情况填写）</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、不可抗力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1.本合同所称不可抗力，是指不能预见、不能避免并不能克服的客观情况。</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2.由于不可抗力事件，致使一方在履行其本合同项下的义务过程中遇到的障碍或延误，不能按规定的条款全部或部分履行其义务的，遇到不可抗力事件的一方（受阻方），不应视为违反本合同。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3.不可抗力事件终止或被排除后，受阻方应继续履行本合同，并应立即通知另一方。受阻方可以延长履行义务的时间，延长期应相当于不可抗力事件实际造成延误的时间。</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、合同纠纷处理</w:t>
      </w:r>
      <w:r/>
    </w:p>
    <w:p>
      <w:pPr>
        <w:pStyle w:val="989"/>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因履行本合同发生争议，由双方协商解决，解决不成则提交常州仲裁委员会仲裁。</w:t>
      </w:r>
      <w:r/>
    </w:p>
    <w:p>
      <w:pPr>
        <w:pStyle w:val="997"/>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、生效</w:t>
      </w:r>
      <w:r/>
    </w:p>
    <w:p>
      <w:pPr>
        <w:pStyle w:val="997"/>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本合同自双方签字盖章之日起生效。见证方对甲方通过见证方平台采购本合同标的的事实进行见证，本合同的履行与见证方无关。</w:t>
      </w:r>
      <w:r/>
    </w:p>
    <w:p>
      <w:pPr>
        <w:pStyle w:val="997"/>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、合同份数</w:t>
      </w:r>
      <w:r/>
    </w:p>
    <w:p>
      <w:pPr>
        <w:pStyle w:val="997"/>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本合同一式伍份。甲方叁份、乙方贰份。</w:t>
      </w:r>
      <w:r/>
    </w:p>
    <w:p>
      <w:pPr>
        <w:pStyle w:val="997"/>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单位名称（章）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单位名称（章）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常州市武进区鸣新中路26号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项目负责人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农行邱墅支行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10-605701040004030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帐号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税    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123200004660069658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税号</w:t>
      </w:r>
      <w:r>
        <w:rPr>
          <w:rFonts w:hint="eastAsia" w:ascii="宋体" w:hAnsi="宋体" w:eastAsia="宋体" w:cs="宋体"/>
          <w:color w:val="auto"/>
          <w:sz w:val="24"/>
          <w:szCs w:val="24"/>
          <w:highlight w:val="none"/>
          <w:lang w:eastAsia="zh-CN"/>
        </w:rPr>
        <w:t xml:space="preserve">:</w:t>
      </w:r>
      <w:r/>
    </w:p>
    <w:p>
      <w:pPr>
        <w:ind w:firstLine="480"/>
        <w:jc w:val="both"/>
        <w:keepLines w:val="0"/>
        <w:keepNext w:val="0"/>
        <w:pageBreakBefore w:val="0"/>
        <w:spacing w:afterAutospacing="0" w:line="360" w:lineRule="auto"/>
        <w:widowControl w:val="off"/>
        <w:rPr>
          <w:rFonts w:hint="eastAsia" w:ascii="宋体" w:hAnsi="宋体" w:eastAsia="宋体" w:cs="宋体"/>
          <w:b/>
          <w:bCs/>
          <w:color w:val="auto"/>
          <w:szCs w:val="21"/>
          <w:highlight w:val="non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highlight w:val="none"/>
        </w:rPr>
        <w:t xml:space="preserve"> </w:t>
      </w:r>
      <w:r/>
    </w:p>
    <w:p>
      <w:pPr>
        <w:jc w:val="center"/>
        <w:spacing w:line="348" w:lineRule="auto"/>
        <w:rPr>
          <w:rFonts w:hint="eastAsia" w:ascii="宋体" w:hAnsi="宋体" w:eastAsia="宋体" w:cs="宋体"/>
          <w:color w:val="auto"/>
          <w:sz w:val="24"/>
          <w:highlight w:val="none"/>
        </w:rPr>
      </w:pPr>
      <w:r>
        <w:rPr>
          <w:rFonts w:hint="eastAsia" w:ascii="宋体" w:hAnsi="宋体" w:eastAsia="宋体" w:cs="宋体"/>
          <w:b/>
          <w:bCs/>
          <w:color w:val="auto"/>
          <w:szCs w:val="21"/>
          <w:highlight w:val="none"/>
        </w:rPr>
        <w:t xml:space="preserve">注:上述格式及内容仅供参考，具体以甲方签订合同时内容为准</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color w:val="auto"/>
          <w:sz w:val="36"/>
          <w:szCs w:val="36"/>
          <w:highlight w:val="none"/>
        </w:rPr>
        <w:t xml:space="preserve">第七章  投标文件的组成及提交须知</w:t>
      </w:r>
      <w:r/>
    </w:p>
    <w:tbl>
      <w:tblPr>
        <w:tblStyle w:val="980"/>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4"/>
        <w:gridCol w:w="2184"/>
        <w:gridCol w:w="6593"/>
      </w:tblGrid>
      <w:tr>
        <w:trPr>
          <w:jc w:val="center"/>
          <w:trHeight w:val="396"/>
        </w:trPr>
        <w:tc>
          <w:tcPr>
            <w:tcBorders>
              <w:top w:val="single" w:color="auto" w:sz="4" w:space="0"/>
              <w:left w:val="single" w:color="auto" w:sz="4" w:space="0"/>
              <w:bottom w:val="single" w:color="auto" w:sz="4" w:space="0"/>
              <w:right w:val="single" w:color="auto" w:sz="4" w:space="0"/>
            </w:tcBorders>
            <w:tcW w:w="590" w:type="pct"/>
            <w:vAlign w:val="center"/>
            <w:textDirection w:val="lrTb"/>
            <w:noWrap w:val="false"/>
          </w:tcPr>
          <w:p>
            <w:pPr>
              <w:jc w:val="center"/>
              <w:spacing w:line="400" w:lineRule="exact"/>
              <w:rPr>
                <w:rFonts w:hint="eastAsia" w:ascii="宋体" w:hAnsi="宋体" w:eastAsia="宋体" w:cs="宋体"/>
                <w:b/>
                <w:color w:val="auto"/>
                <w:sz w:val="24"/>
                <w:highlight w:val="none"/>
              </w:rPr>
            </w:pPr>
            <w:r/>
            <w:bookmarkStart w:id="284" w:name="_Toc86202633"/>
            <w:r>
              <w:rPr>
                <w:rFonts w:hint="eastAsia" w:ascii="宋体" w:hAnsi="宋体" w:eastAsia="宋体" w:cs="宋体"/>
                <w:b/>
                <w:color w:val="auto"/>
                <w:sz w:val="24"/>
                <w:highlight w:val="none"/>
                <w:lang w:bidi="ar"/>
              </w:rPr>
              <w:t xml:space="preserve">名称</w:t>
            </w:r>
            <w:bookmarkEnd w:id="284"/>
            <w:r/>
            <w:r/>
          </w:p>
        </w:tc>
        <w:tc>
          <w:tcPr>
            <w:tcBorders>
              <w:top w:val="single" w:color="auto" w:sz="4" w:space="0"/>
              <w:left w:val="none" w:color="000000" w:sz="4" w:space="0"/>
              <w:bottom w:val="single" w:color="auto" w:sz="4" w:space="0"/>
              <w:right w:val="single" w:color="auto" w:sz="4" w:space="0"/>
            </w:tcBorders>
            <w:tcW w:w="1097" w:type="pct"/>
            <w:vAlign w:val="center"/>
            <w:textDirection w:val="lrTb"/>
            <w:noWrap w:val="false"/>
          </w:tcPr>
          <w:p>
            <w:pPr>
              <w:jc w:val="center"/>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类别</w:t>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jc w:val="center"/>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bidi="ar"/>
              </w:rPr>
              <w:t xml:space="preserve">相应内容</w:t>
            </w:r>
            <w:r/>
          </w:p>
        </w:tc>
      </w:tr>
      <w:tr>
        <w:trPr>
          <w:jc w:val="center"/>
          <w:trHeight w:val="215"/>
        </w:trPr>
        <w:tc>
          <w:tcPr>
            <w:tcBorders>
              <w:top w:val="none" w:color="000000" w:sz="4" w:space="0"/>
              <w:left w:val="single" w:color="auto" w:sz="4" w:space="0"/>
              <w:right w:val="single" w:color="auto" w:sz="4" w:space="0"/>
            </w:tcBorders>
            <w:tcW w:w="590" w:type="pct"/>
            <w:vAlign w:val="center"/>
            <w:vMerge w:val="restart"/>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投标文件组成</w:t>
            </w:r>
            <w:r/>
          </w:p>
        </w:tc>
        <w:tc>
          <w:tcPr>
            <w:tcBorders>
              <w:top w:val="single" w:color="auto" w:sz="4" w:space="0"/>
              <w:left w:val="none" w:color="000000" w:sz="4" w:space="0"/>
              <w:right w:val="single" w:color="auto" w:sz="4" w:space="0"/>
            </w:tcBorders>
            <w:tcW w:w="1097" w:type="pct"/>
            <w:vAlign w:val="center"/>
            <w:vMerge w:val="restart"/>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基本目录</w:t>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投标文件封面</w:t>
            </w:r>
            <w:r/>
          </w:p>
        </w:tc>
      </w:tr>
      <w:tr>
        <w:trPr>
          <w:jc w:val="center"/>
          <w:trHeight w:val="237"/>
        </w:trPr>
        <w:tc>
          <w:tcPr>
            <w:tcBorders>
              <w:left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*开标一览表</w:t>
            </w:r>
            <w:r/>
          </w:p>
        </w:tc>
      </w:tr>
      <w:tr>
        <w:trPr>
          <w:jc w:val="center"/>
        </w:trPr>
        <w:tc>
          <w:tcPr>
            <w:tcBorders>
              <w:left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项目实施方案</w:t>
            </w:r>
            <w:r/>
          </w:p>
        </w:tc>
      </w:tr>
      <w:tr>
        <w:trPr>
          <w:jc w:val="center"/>
        </w:trPr>
        <w:tc>
          <w:tcPr>
            <w:tcBorders>
              <w:left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基本服务承诺书</w:t>
            </w:r>
            <w:r/>
          </w:p>
        </w:tc>
      </w:tr>
      <w:tr>
        <w:trPr>
          <w:jc w:val="center"/>
        </w:trPr>
        <w:tc>
          <w:tcPr>
            <w:tcBorders>
              <w:left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认为需要提供的其他证明材料</w:t>
            </w:r>
            <w:r/>
          </w:p>
        </w:tc>
      </w:tr>
      <w:tr>
        <w:trPr>
          <w:jc w:val="center"/>
        </w:trPr>
        <w:tc>
          <w:tcPr>
            <w:tcBorders>
              <w:left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none" w:color="000000" w:sz="4" w:space="0"/>
              <w:right w:val="single" w:color="auto" w:sz="4" w:space="0"/>
            </w:tcBorders>
            <w:tcW w:w="1097" w:type="pct"/>
            <w:vAlign w:val="center"/>
            <w:vMerge w:val="restart"/>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资格条件</w:t>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△营业执照</w:t>
            </w:r>
            <w:r/>
          </w:p>
        </w:tc>
      </w:tr>
      <w:tr>
        <w:trPr>
          <w:jc w:val="center"/>
        </w:trPr>
        <w:tc>
          <w:tcPr>
            <w:tcBorders>
              <w:left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△法定代表人资格证明书或授权委托书、授权代表社保证明</w:t>
            </w:r>
            <w:r/>
          </w:p>
        </w:tc>
      </w:tr>
      <w:tr>
        <w:trPr>
          <w:jc w:val="center"/>
        </w:trPr>
        <w:tc>
          <w:tcPr>
            <w:tcBorders>
              <w:left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经“信用中国”网站查询未被列入信用记录失信被执行人、重大税收违法案件当事人名单、政府采购严重违法失信行为记录名单</w:t>
            </w:r>
            <w:r/>
          </w:p>
        </w:tc>
      </w:tr>
      <w:tr>
        <w:trPr>
          <w:jc w:val="center"/>
          <w:trHeight w:val="285"/>
        </w:trPr>
        <w:tc>
          <w:tcPr>
            <w:tcBorders>
              <w:left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△政府采购供应商信用承诺书</w:t>
            </w:r>
            <w:r/>
          </w:p>
        </w:tc>
      </w:tr>
      <w:tr>
        <w:trPr>
          <w:jc w:val="center"/>
          <w:trHeight w:val="275"/>
        </w:trPr>
        <w:tc>
          <w:tcPr>
            <w:tcBorders>
              <w:left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△投标人资格声明函</w:t>
            </w:r>
            <w:r/>
          </w:p>
        </w:tc>
      </w:tr>
      <w:tr>
        <w:trPr>
          <w:jc w:val="center"/>
          <w:trHeight w:val="1229"/>
        </w:trPr>
        <w:tc>
          <w:tcPr>
            <w:tcBorders>
              <w:left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△落实政府采购政策需满足的资格条件(详见第一章“采购邀请”):</w:t>
            </w:r>
            <w:r>
              <w:rPr>
                <w:rFonts w:hint="eastAsia" w:ascii="宋体" w:hAnsi="宋体" w:eastAsia="宋体" w:cs="宋体"/>
                <w:b/>
                <w:bCs/>
                <w:color w:val="auto"/>
                <w:sz w:val="24"/>
                <w:highlight w:val="none"/>
              </w:rPr>
              <w:t xml:space="preserve">如采购公告中明确专门面向中小/小微企业采购，须按要求提供中小企业声明函</w:t>
            </w:r>
            <w:r/>
          </w:p>
        </w:tc>
      </w:tr>
      <w:tr>
        <w:trPr>
          <w:jc w:val="center"/>
          <w:trHeight w:val="315"/>
        </w:trPr>
        <w:tc>
          <w:tcPr>
            <w:tcBorders>
              <w:left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bottom w:val="single" w:color="auto"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△特定资格条件(详见“第三章 资格审查”—“第二节 资格审查要求”)</w:t>
            </w:r>
            <w:r/>
          </w:p>
        </w:tc>
      </w:tr>
      <w:tr>
        <w:trPr>
          <w:jc w:val="center"/>
          <w:trHeight w:val="90"/>
        </w:trPr>
        <w:tc>
          <w:tcPr>
            <w:tcBorders>
              <w:left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none" w:color="000000" w:sz="4" w:space="0"/>
              <w:right w:val="single" w:color="auto" w:sz="4" w:space="0"/>
            </w:tcBorders>
            <w:tcW w:w="1097" w:type="pct"/>
            <w:vAlign w:val="center"/>
            <w:vMerge w:val="restart"/>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符合条件</w:t>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*报价明细表</w:t>
            </w:r>
            <w:r/>
          </w:p>
        </w:tc>
      </w:tr>
      <w:tr>
        <w:trPr>
          <w:jc w:val="center"/>
          <w:trHeight w:val="280"/>
        </w:trPr>
        <w:tc>
          <w:tcPr>
            <w:tcBorders>
              <w:left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Merge w:val="continue"/>
            <w:textDirection w:val="lrTb"/>
            <w:noWrap w:val="false"/>
          </w:tcPr>
          <w:p>
            <w:pPr>
              <w:ind w:firstLine="482"/>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*投标函</w:t>
            </w:r>
            <w:r/>
          </w:p>
        </w:tc>
      </w:tr>
      <w:tr>
        <w:trPr>
          <w:jc w:val="center"/>
        </w:trPr>
        <w:tc>
          <w:tcPr>
            <w:tcBorders>
              <w:left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*技术偏离表、商务偏离表</w:t>
            </w:r>
            <w:r/>
          </w:p>
        </w:tc>
      </w:tr>
      <w:tr>
        <w:trPr>
          <w:jc w:val="center"/>
        </w:trPr>
        <w:tc>
          <w:tcPr>
            <w:tcBorders>
              <w:left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bottom w:val="single" w:color="auto" w:sz="4" w:space="0"/>
              <w:right w:val="single" w:color="auto" w:sz="4" w:space="0"/>
            </w:tcBorders>
            <w:tcW w:w="1097" w:type="pct"/>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*投标文件有效性(根据招标文件要求填写,如招标文件无相关要求,此条可不填写)</w:t>
            </w:r>
            <w:r/>
          </w:p>
        </w:tc>
      </w:tr>
      <w:tr>
        <w:trPr>
          <w:jc w:val="center"/>
          <w:trHeight w:val="533"/>
        </w:trPr>
        <w:tc>
          <w:tcPr>
            <w:tcBorders>
              <w:left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none" w:color="000000" w:sz="4" w:space="0"/>
              <w:right w:val="single" w:color="auto" w:sz="4" w:space="0"/>
            </w:tcBorders>
            <w:tcW w:w="1097" w:type="pct"/>
            <w:vAlign w:val="center"/>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综合评审评分项</w:t>
            </w:r>
            <w:r/>
          </w:p>
        </w:tc>
        <w:tc>
          <w:tcPr>
            <w:tcBorders>
              <w:top w:val="single" w:color="auto" w:sz="4" w:space="0"/>
              <w:left w:val="none" w:color="000000" w:sz="4" w:space="0"/>
              <w:bottom w:val="single" w:color="auto" w:sz="4" w:space="0"/>
              <w:right w:val="single" w:color="auto" w:sz="4" w:space="0"/>
            </w:tcBorders>
            <w:tcW w:w="3312" w:type="pct"/>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采用综合评分法的项目，每项评分材料按第四章“评标程序、评标方法和评标标准”评分细则中对应评分项目(或数字编号)分别上传。</w:t>
            </w:r>
            <w:r/>
          </w:p>
        </w:tc>
      </w:tr>
      <w:tr>
        <w:trPr>
          <w:jc w:val="center"/>
          <w:trHeight w:val="533"/>
        </w:trPr>
        <w:tc>
          <w:tcPr>
            <w:tcBorders>
              <w:left w:val="single" w:color="auto" w:sz="4" w:space="0"/>
              <w:bottom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none" w:color="000000" w:sz="4" w:space="0"/>
              <w:right w:val="single" w:color="auto" w:sz="4" w:space="0"/>
            </w:tcBorders>
            <w:tcW w:w="1097" w:type="pct"/>
            <w:vAlign w:val="center"/>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价格折扣文件格式</w:t>
            </w:r>
            <w:r/>
          </w:p>
        </w:tc>
        <w:tc>
          <w:tcPr>
            <w:tcBorders>
              <w:top w:val="single" w:color="auto" w:sz="4" w:space="0"/>
              <w:left w:val="none" w:color="000000" w:sz="4" w:space="0"/>
              <w:bottom w:val="single" w:color="auto" w:sz="4" w:space="0"/>
              <w:right w:val="single" w:color="auto" w:sz="4" w:space="0"/>
            </w:tcBorders>
            <w:tcW w:w="3312" w:type="pct"/>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企业报价折扣证明(中小企业声明函或监狱企业证明或残疾人福利性单位声明函)</w:t>
            </w:r>
            <w:r/>
          </w:p>
        </w:tc>
      </w:tr>
      <w:tr>
        <w:trPr>
          <w:jc w:val="center"/>
        </w:trPr>
        <w:tc>
          <w:tcPr>
            <w:tcBorders>
              <w:top w:val="single" w:color="auto" w:sz="4" w:space="0"/>
              <w:left w:val="single" w:color="auto" w:sz="4" w:space="0"/>
              <w:bottom w:val="single" w:color="auto" w:sz="4" w:space="0"/>
              <w:right w:val="single" w:color="auto" w:sz="4" w:space="0"/>
            </w:tcBorders>
            <w:tcW w:w="590" w:type="pct"/>
            <w:vAlign w:val="center"/>
            <w:textDirection w:val="lrTb"/>
            <w:noWrap w:val="false"/>
          </w:tcPr>
          <w:p>
            <w:pPr>
              <w:jc w:val="center"/>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bidi="ar"/>
              </w:rPr>
              <w:t xml:space="preserve">投标文件提交须知</w:t>
            </w:r>
            <w:r/>
          </w:p>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409" w:type="pct"/>
            <w:textDirection w:val="lrTb"/>
            <w:noWrap w:val="false"/>
          </w:tcPr>
          <w:p>
            <w:pPr>
              <w:jc w:val="left"/>
              <w:keepNext/>
              <w:spacing w:line="400" w:lineRule="exact"/>
              <w:rPr>
                <w:rFonts w:hint="eastAsia" w:ascii="宋体" w:hAnsi="宋体" w:eastAsia="宋体" w:cs="宋体"/>
                <w:b/>
                <w:bCs/>
                <w:color w:val="auto"/>
                <w:sz w:val="24"/>
                <w:highlight w:val="none"/>
                <w:u w:val="single"/>
              </w:rPr>
              <w:outlineLvl w:val="0"/>
            </w:pPr>
            <w:r>
              <w:rPr>
                <w:rFonts w:hint="eastAsia" w:ascii="宋体" w:hAnsi="宋体" w:eastAsia="宋体" w:cs="宋体"/>
                <w:b/>
                <w:bCs/>
                <w:color w:val="auto"/>
                <w:sz w:val="24"/>
                <w:highlight w:val="none"/>
                <w:u w:val="single"/>
                <w:lang w:bidi="ar"/>
              </w:rPr>
              <w:t xml:space="preserve">1.本部分内容仅列明格式材料要求，不代表所有列出格式的材料必须全部提交，具体提交以招标文件规定的资格条件、评分标准要求及招标文件给定格式等内容为准。</w:t>
            </w:r>
            <w:r/>
          </w:p>
          <w:p>
            <w:pPr>
              <w:jc w:val="left"/>
              <w:keepNext/>
              <w:spacing w:line="400" w:lineRule="exact"/>
              <w:rPr>
                <w:rFonts w:hint="eastAsia" w:ascii="宋体" w:hAnsi="宋体" w:eastAsia="宋体" w:cs="宋体"/>
                <w:b/>
                <w:bCs/>
                <w:color w:val="auto"/>
                <w:sz w:val="24"/>
                <w:highlight w:val="none"/>
                <w:u w:val="single"/>
                <w:lang w:bidi="ar"/>
              </w:rPr>
              <w:outlineLvl w:val="0"/>
            </w:pPr>
            <w:r>
              <w:rPr>
                <w:rFonts w:hint="eastAsia" w:ascii="宋体" w:hAnsi="宋体" w:eastAsia="宋体" w:cs="宋体"/>
                <w:b/>
                <w:bCs/>
                <w:color w:val="auto"/>
                <w:sz w:val="24"/>
                <w:highlight w:val="none"/>
                <w:u w:val="single"/>
                <w:lang w:bidi="ar"/>
              </w:rPr>
              <w:t xml:space="preserve">2.带“△”项材料如未按</w:t>
            </w:r>
            <w:r>
              <w:rPr>
                <w:rFonts w:hint="eastAsia" w:ascii="宋体" w:hAnsi="宋体" w:eastAsia="宋体" w:cs="宋体"/>
                <w:b/>
                <w:bCs/>
                <w:color w:val="auto"/>
                <w:sz w:val="24"/>
                <w:highlight w:val="none"/>
                <w:u w:val="single"/>
              </w:rPr>
              <w:t xml:space="preserve">“第三章 资格审查”——“第二节 资格审查要求”</w:t>
            </w:r>
            <w:r>
              <w:rPr>
                <w:rFonts w:hint="eastAsia" w:ascii="宋体" w:hAnsi="宋体" w:eastAsia="宋体" w:cs="宋体"/>
                <w:b/>
                <w:bCs/>
                <w:color w:val="auto"/>
                <w:sz w:val="24"/>
                <w:highlight w:val="none"/>
                <w:u w:val="single"/>
                <w:lang w:bidi="ar"/>
              </w:rPr>
              <w:t xml:space="preserve">要求提交，将作资格审查不通过处理，带“*”项材料如未按要求提交，将作无效投标处理。</w:t>
            </w:r>
            <w:r/>
          </w:p>
          <w:p>
            <w:pPr>
              <w:jc w:val="left"/>
              <w:keepNext/>
              <w:spacing w:line="400" w:lineRule="exact"/>
              <w:rPr>
                <w:rFonts w:hint="eastAsia" w:ascii="宋体" w:hAnsi="宋体" w:eastAsia="宋体" w:cs="宋体"/>
                <w:b/>
                <w:bCs/>
                <w:color w:val="auto"/>
                <w:sz w:val="24"/>
                <w:highlight w:val="none"/>
                <w:u w:val="single"/>
                <w:lang w:bidi="ar"/>
              </w:rPr>
              <w:outlineLvl w:val="0"/>
            </w:pPr>
            <w:r>
              <w:rPr>
                <w:rFonts w:hint="eastAsia" w:ascii="宋体" w:hAnsi="宋体" w:eastAsia="宋体" w:cs="宋体"/>
                <w:b/>
                <w:bCs/>
                <w:color w:val="auto"/>
                <w:sz w:val="24"/>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3.投标人应严格按照以上顺序及要求对应上传投标文件，混乱的编排、上传、文件资料不清晰可辨导致投标文件被误读或查找不到相应内容，将导致资格审查不通过、评分项不得分、无效投标等严重后果。</w:t>
            </w:r>
            <w:r/>
          </w:p>
          <w:p>
            <w:pPr>
              <w:jc w:val="left"/>
              <w:keepNext/>
              <w:spacing w:line="400" w:lineRule="exact"/>
              <w:rPr>
                <w:rFonts w:hint="eastAsia" w:ascii="宋体" w:hAnsi="宋体" w:eastAsia="宋体" w:cs="宋体"/>
                <w:b/>
                <w:bCs/>
                <w:color w:val="auto"/>
                <w:sz w:val="24"/>
                <w:highlight w:val="none"/>
                <w:u w:val="single"/>
                <w:lang w:bidi="ar"/>
              </w:rPr>
              <w:outlineLvl w:val="0"/>
            </w:pPr>
            <w:r>
              <w:rPr>
                <w:rFonts w:hint="eastAsia" w:ascii="宋体" w:hAnsi="宋体" w:eastAsia="宋体" w:cs="宋体"/>
                <w:b/>
                <w:bCs/>
                <w:color w:val="auto"/>
                <w:sz w:val="24"/>
                <w:highlight w:val="none"/>
                <w:u w:val="single"/>
                <w:lang w:bidi="ar"/>
              </w:rPr>
              <w:t xml:space="preserve">4.投标文件应按照招标文件要求的格式填写，无相应内容填写可填写“无”等明确的回答。</w:t>
            </w:r>
            <w:r/>
          </w:p>
          <w:p>
            <w:pPr>
              <w:jc w:val="left"/>
              <w:keepNext/>
              <w:spacing w:line="400" w:lineRule="exact"/>
              <w:rPr>
                <w:rFonts w:hint="eastAsia" w:ascii="宋体" w:hAnsi="宋体" w:eastAsia="宋体" w:cs="宋体"/>
                <w:b/>
                <w:color w:val="auto"/>
                <w:sz w:val="24"/>
                <w:highlight w:val="none"/>
              </w:rPr>
              <w:outlineLvl w:val="0"/>
            </w:pPr>
            <w:r>
              <w:rPr>
                <w:rFonts w:hint="eastAsia" w:ascii="宋体" w:hAnsi="宋体" w:eastAsia="宋体" w:cs="宋体"/>
                <w:b/>
                <w:bCs/>
                <w:color w:val="auto"/>
                <w:sz w:val="24"/>
                <w:highlight w:val="none"/>
                <w:u w:val="single"/>
                <w:lang w:bidi="ar"/>
              </w:rPr>
              <w:t xml:space="preserve">5.投标文件所附格式中要求填写的全部信息都必须正面回答并保证是真实准确的。</w:t>
            </w:r>
            <w:r/>
          </w:p>
        </w:tc>
      </w:tr>
    </w:tbl>
    <w:p>
      <w:pPr>
        <w:jc w:val="center"/>
        <w:spacing w:line="348"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48" w:lineRule="auto"/>
        <w:rPr>
          <w:rFonts w:hint="eastAsia" w:ascii="宋体" w:hAnsi="宋体" w:eastAsia="宋体" w:cs="宋体"/>
          <w:b/>
          <w:color w:val="auto"/>
          <w:sz w:val="24"/>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第八章   投标文件格式</w:t>
      </w:r>
      <w:bookmarkEnd w:id="275"/>
      <w:r/>
      <w:bookmarkEnd w:id="276"/>
      <w:r/>
      <w:r/>
    </w:p>
    <w:p>
      <w:pPr>
        <w:ind w:left="142"/>
        <w:spacing w:line="360" w:lineRule="auto"/>
        <w:tabs>
          <w:tab w:val="left" w:pos="900" w:leader="none"/>
          <w:tab w:val="left" w:pos="19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投标人编制文件须知</w:t>
      </w:r>
      <w:r/>
    </w:p>
    <w:p>
      <w:pPr>
        <w:ind w:left="142" w:firstLine="240"/>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1、投标人按照本部分的顺序编制投标文件，编制中涉及格式资料的，应按照本部分提供的内容和格式(所有表格的格式可扩展)填写提交。</w:t>
      </w:r>
      <w:r/>
    </w:p>
    <w:p>
      <w:pPr>
        <w:ind w:firstLine="240"/>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ind w:left="142" w:firstLine="240"/>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3、全部声明和问题的回答及所附材料必须是真实的、准确的和完整的。</w:t>
      </w:r>
      <w:r/>
    </w:p>
    <w:p>
      <w:pPr>
        <w:ind w:left="142" w:firstLine="240"/>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4、实行电子化不见面交易方式的，加盖公章、签名等均通过投标文件编制工具加盖电子公章、签字或签章。</w:t>
      </w:r>
      <w:r/>
    </w:p>
    <w:p>
      <w:pPr>
        <w:ind w:left="142"/>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r/>
    </w:p>
    <w:p>
      <w:pPr>
        <w:jc w:val="left"/>
        <w:widowControl/>
        <w:rPr>
          <w:rFonts w:hint="eastAsia" w:ascii="宋体" w:hAnsi="宋体" w:eastAsia="宋体" w:cs="宋体"/>
          <w:b/>
          <w:color w:val="auto"/>
          <w:spacing w:val="20"/>
          <w:szCs w:val="21"/>
          <w:highlight w:val="none"/>
        </w:rPr>
      </w:pPr>
      <w:r>
        <w:rPr>
          <w:rFonts w:hint="eastAsia" w:ascii="宋体" w:hAnsi="宋体" w:eastAsia="宋体" w:cs="宋体"/>
          <w:b/>
          <w:color w:val="auto"/>
          <w:spacing w:val="20"/>
          <w:szCs w:val="21"/>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pacing w:val="20"/>
          <w:sz w:val="24"/>
          <w:highlight w:val="none"/>
        </w:rPr>
        <w:br w:type="page" w:clear="all"/>
      </w:r>
      <w:r>
        <w:rPr>
          <w:rFonts w:hint="eastAsia" w:ascii="宋体" w:hAnsi="宋体" w:eastAsia="宋体" w:cs="宋体"/>
          <w:b/>
          <w:color w:val="auto"/>
          <w:spacing w:val="20"/>
          <w:sz w:val="24"/>
          <w:highlight w:val="none"/>
        </w:rPr>
        <w:t xml:space="preserve">投标文件</w:t>
      </w:r>
      <w:r>
        <w:rPr>
          <w:rFonts w:hint="eastAsia" w:ascii="宋体" w:hAnsi="宋体" w:eastAsia="宋体" w:cs="宋体"/>
          <w:b/>
          <w:color w:val="auto"/>
          <w:sz w:val="24"/>
          <w:highlight w:val="none"/>
        </w:rPr>
        <w:t xml:space="preserve">封面(非实质性格式)</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r>
      <w:r/>
    </w:p>
    <w:p>
      <w:pP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r>
      <w:r/>
    </w:p>
    <w:p>
      <w:pPr>
        <w:jc w:val="cente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t xml:space="preserve">投 标 文 件</w:t>
      </w:r>
      <w:r/>
    </w:p>
    <w:p>
      <w:pPr>
        <w:jc w:val="center"/>
        <w:rPr>
          <w:rFonts w:hint="eastAsia" w:ascii="宋体" w:hAnsi="宋体" w:eastAsia="宋体" w:cs="宋体"/>
          <w:b/>
          <w:color w:val="auto"/>
          <w:spacing w:val="60"/>
          <w:sz w:val="52"/>
          <w:szCs w:val="52"/>
          <w:highlight w:val="none"/>
        </w:rPr>
      </w:pPr>
      <w:r>
        <w:rPr>
          <w:rFonts w:hint="eastAsia" w:ascii="宋体" w:hAnsi="宋体" w:eastAsia="宋体" w:cs="宋体"/>
          <w:b/>
          <w:color w:val="auto"/>
          <w:spacing w:val="60"/>
          <w:sz w:val="52"/>
          <w:szCs w:val="52"/>
          <w:highlight w:val="none"/>
        </w:rPr>
      </w:r>
      <w:r/>
    </w:p>
    <w:p>
      <w:pPr>
        <w:ind w:firstLine="542"/>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r>
      <w:r/>
    </w:p>
    <w:p>
      <w:pPr>
        <w:ind w:firstLine="542"/>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r>
      <w:r/>
    </w:p>
    <w:p>
      <w:pPr>
        <w:ind w:firstLine="361"/>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361"/>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      </w:t>
      </w:r>
      <w:r/>
    </w:p>
    <w:p>
      <w:pPr>
        <w:ind w:firstLine="361"/>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投标人名称 :</w:t>
      </w:r>
      <w:r>
        <w:rPr>
          <w:rFonts w:hint="eastAsia" w:ascii="宋体" w:hAnsi="宋体" w:eastAsia="宋体" w:cs="宋体"/>
          <w:b/>
          <w:color w:val="auto"/>
          <w:sz w:val="36"/>
          <w:highlight w:val="none"/>
          <w:u w:val="single"/>
        </w:rPr>
        <w:t xml:space="preserve">         (加盖CA电子公章)        </w:t>
      </w:r>
      <w:r>
        <w:rPr>
          <w:rFonts w:hint="eastAsia" w:ascii="宋体" w:hAnsi="宋体" w:eastAsia="宋体" w:cs="宋体"/>
          <w:b/>
          <w:color w:val="auto"/>
          <w:sz w:val="36"/>
          <w:highlight w:val="none"/>
        </w:rPr>
        <w:t xml:space="preserve">               </w:t>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      </w:t>
      </w:r>
      <w:r/>
    </w:p>
    <w:p>
      <w:pPr>
        <w:ind w:firstLine="361"/>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法定代表人或委托代理人</w:t>
      </w:r>
      <w:r>
        <w:rPr>
          <w:rFonts w:hint="eastAsia" w:ascii="宋体" w:hAnsi="宋体" w:eastAsia="宋体" w:cs="宋体"/>
          <w:b/>
          <w:color w:val="auto"/>
          <w:sz w:val="24"/>
          <w:highlight w:val="none"/>
        </w:rPr>
        <w:t xml:space="preserve">(签字或签章)</w:t>
      </w:r>
      <w:r>
        <w:rPr>
          <w:rFonts w:hint="eastAsia" w:ascii="宋体" w:hAnsi="宋体" w:eastAsia="宋体" w:cs="宋体"/>
          <w:b/>
          <w:color w:val="auto"/>
          <w:sz w:val="36"/>
          <w:highlight w:val="none"/>
        </w:rPr>
        <w:t xml:space="preserve">:</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361"/>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日      期 :</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rPr>
        <w:t xml:space="preserve">               </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72"/>
        <w:spacing w:before="0" w:after="0" w:line="336" w:lineRule="auto"/>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r>
      <w:r/>
    </w:p>
    <w:p>
      <w:pPr>
        <w:jc w:val="center"/>
        <w:spacing w:before="120" w:line="336" w:lineRule="auto"/>
        <w:widowControl/>
        <w:rPr>
          <w:rFonts w:hint="eastAsia" w:ascii="宋体" w:hAnsi="宋体" w:eastAsia="宋体" w:cs="宋体"/>
          <w:color w:val="auto"/>
          <w:highlight w:val="none"/>
        </w:rPr>
      </w:pPr>
      <w:r>
        <w:rPr>
          <w:rFonts w:hint="eastAsia" w:ascii="宋体" w:hAnsi="宋体" w:eastAsia="宋体" w:cs="宋体"/>
          <w:b/>
          <w:color w:val="auto"/>
          <w:sz w:val="28"/>
          <w:szCs w:val="28"/>
          <w:highlight w:val="none"/>
        </w:rPr>
        <w:br w:type="page" w:clear="all"/>
      </w:r>
      <w:r>
        <w:rPr>
          <w:rFonts w:hint="eastAsia" w:ascii="宋体" w:hAnsi="宋体" w:eastAsia="宋体" w:cs="宋体"/>
          <w:b/>
          <w:color w:val="auto"/>
          <w:sz w:val="36"/>
          <w:szCs w:val="36"/>
          <w:highlight w:val="none"/>
        </w:rPr>
        <w:t xml:space="preserve">一、投标人资格声明函(实质性格式)</w:t>
      </w:r>
      <w:r/>
    </w:p>
    <w:p>
      <w:pPr>
        <w:pStyle w:val="982"/>
        <w:ind w:firstLine="480"/>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致:常州中金招投标有限公司</w:t>
      </w:r>
      <w:r/>
    </w:p>
    <w:p>
      <w:pPr>
        <w:pStyle w:val="982"/>
        <w:ind w:firstLine="960"/>
        <w:spacing w:line="336"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(请填入采购人名称)</w:t>
      </w:r>
      <w:r/>
    </w:p>
    <w:p>
      <w:pPr>
        <w:pStyle w:val="982"/>
        <w:ind w:firstLine="480"/>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按照《中华人民共和国政府采购法》第二十二条和招标文件的规定，我单位郑重声明如下:</w:t>
      </w:r>
      <w:r/>
    </w:p>
    <w:p>
      <w:pPr>
        <w:pStyle w:val="98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一、我单位是按照中华人民共和国法律规定登记注册的，注册地点为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，统一社会信用代码为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，法定代表人(单位负责人)为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，具有独立承担民事责任的能力。</w:t>
      </w:r>
      <w:r/>
    </w:p>
    <w:p>
      <w:pPr>
        <w:pStyle w:val="98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二、我单位未被“国家企业信用信息系统”列入经营异常名录或者严重违法企业名单。</w:t>
      </w:r>
      <w:r/>
    </w:p>
    <w:p>
      <w:pPr>
        <w:pStyle w:val="98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三、我单位具有良好的商业信誉(指投标人经营状况良好，无本资格声明第十条情形)和健全的财务会计制度。</w:t>
      </w:r>
      <w:r/>
    </w:p>
    <w:p>
      <w:pPr>
        <w:pStyle w:val="98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四、我单位依法进行纳税和社会保险申报并实际履行了义务。</w:t>
      </w:r>
      <w:r/>
    </w:p>
    <w:p>
      <w:pPr>
        <w:pStyle w:val="98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五、我单位具有履行本项目采购合同所必需的设备和专业技术能力，并具有履行合同的良好记录。为履行本项采购合同我单位具备如下主要设备和主要专业技术能力:</w:t>
      </w:r>
      <w:r/>
    </w:p>
    <w:p>
      <w:pPr>
        <w:pStyle w:val="98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p>
    <w:p>
      <w:pPr>
        <w:pStyle w:val="98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p>
    <w:p>
      <w:pPr>
        <w:pStyle w:val="98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98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七、我单位具备法律、行政法规规定的其他条件。</w:t>
      </w:r>
      <w:r/>
    </w:p>
    <w:p>
      <w:pPr>
        <w:pStyle w:val="98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八、与我单位存在“单位负责人为同一人或者存在直接控股、管理关系”的其他单位信息如下(如无此情形的，填写“无”):</w:t>
      </w:r>
      <w:r/>
    </w:p>
    <w:p>
      <w:pPr>
        <w:pStyle w:val="98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1、与我单位的法定代表人(单位负责人)为同一人的其他单位如下:</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98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2、我单位直接控股的其他单位如下:</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98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3、与我单位存在管理关系的其他单位如下:</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98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九、我单位不属于为本项目提供整体设计、规范编制或者项目管理、监理、检测等服务的投标人。</w:t>
      </w:r>
      <w:r/>
    </w:p>
    <w:p>
      <w:pPr>
        <w:pStyle w:val="98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十、我单位无以下不良信用记录情形:</w:t>
      </w:r>
      <w:r/>
    </w:p>
    <w:p>
      <w:pPr>
        <w:pStyle w:val="98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1、在“信用中国”网站被列入失信被执行人和重大税收违法案件当事人名单；</w:t>
      </w:r>
      <w:r/>
    </w:p>
    <w:p>
      <w:pPr>
        <w:pStyle w:val="98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2、在“中国政府采购网”网站被列入政府采购严重违法失信行为记录名单；</w:t>
      </w:r>
      <w:r/>
    </w:p>
    <w:p>
      <w:pPr>
        <w:pStyle w:val="98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3、不符合《政府采购法》第二十二条规定的条件。</w:t>
      </w:r>
      <w:r/>
    </w:p>
    <w:p>
      <w:pPr>
        <w:pStyle w:val="98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我单位保证上述声明的事项都是真实的，如有虚假，我单位愿意承担相应的法律责任，并承担因此所造成的一切损失。</w:t>
      </w:r>
      <w:r/>
    </w:p>
    <w:p>
      <w:pPr>
        <w:pStyle w:val="98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rPr>
        <w:t xml:space="preserve">投标人名称(加盖CA电子公章)</w:t>
      </w:r>
      <w:r>
        <w:rPr>
          <w:rFonts w:hint="eastAsia" w:ascii="宋体" w:hAnsi="宋体" w:eastAsia="宋体" w:cs="宋体"/>
          <w:color w:val="auto"/>
          <w:sz w:val="24"/>
          <w:highlight w:val="none"/>
          <w:lang w:val="zh-CN"/>
        </w:rPr>
        <w:t xml:space="preserve">:____________</w:t>
      </w:r>
      <w:r/>
    </w:p>
    <w:p>
      <w:pPr>
        <w:ind w:firstLine="4320"/>
        <w:spacing w:before="25" w:after="25"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法定代表人(或单位负责人)签字或签章</w:t>
      </w:r>
      <w:r>
        <w:rPr>
          <w:rFonts w:hint="eastAsia" w:ascii="宋体" w:hAnsi="宋体" w:eastAsia="宋体" w:cs="宋体"/>
          <w:color w:val="auto"/>
          <w:sz w:val="24"/>
          <w:highlight w:val="none"/>
          <w:lang w:val="zh-CN"/>
        </w:rPr>
        <w:t xml:space="preserve">:</w:t>
      </w:r>
      <w:r/>
    </w:p>
    <w:p>
      <w:pPr>
        <w:pStyle w:val="982"/>
        <w:ind w:firstLine="4320"/>
        <w:spacing w:line="336" w:lineRule="auto"/>
        <w:rPr>
          <w:rFonts w:hint="eastAsia" w:ascii="宋体" w:hAnsi="宋体" w:eastAsia="宋体" w:cs="宋体"/>
          <w:color w:val="auto"/>
          <w:highlight w:val="none"/>
        </w:rPr>
      </w:pPr>
      <w:r>
        <w:rPr>
          <w:rFonts w:hint="eastAsia" w:ascii="宋体" w:hAnsi="宋体" w:eastAsia="宋体" w:cs="宋体"/>
          <w:color w:val="auto"/>
          <w:szCs w:val="20"/>
          <w:highlight w:val="none"/>
        </w:rPr>
        <w:t xml:space="preserve">日期:_____年______月______日    </w:t>
      </w:r>
      <w:r/>
    </w:p>
    <w:p>
      <w:pPr>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说明:投标人承诺不实的，依据《政府采购法》第七十七条“提供虚假材料谋取中标、成交的”有关规定予以处理。</w:t>
      </w:r>
      <w:r/>
    </w:p>
    <w:p>
      <w:pPr>
        <w:spacing w:line="336" w:lineRule="auto"/>
        <w:tabs>
          <w:tab w:val="left" w:pos="5580" w:leader="none"/>
        </w:tabs>
        <w:rPr>
          <w:rFonts w:hint="eastAsia" w:ascii="宋体" w:hAnsi="宋体" w:eastAsia="宋体" w:cs="宋体"/>
          <w:color w:val="auto"/>
          <w:sz w:val="24"/>
          <w:highlight w:val="none"/>
        </w:rPr>
        <w:sectPr>
          <w:footnotePr/>
          <w:endnotePr/>
          <w:type w:val="nextPage"/>
          <w:pgSz w:w="11907" w:h="16840" w:orient="portrait"/>
          <w:pgMar w:top="1440" w:right="1080" w:bottom="1440" w:left="1080" w:header="851" w:footer="851" w:gutter="0"/>
          <w:cols w:num="1" w:sep="0" w:space="720" w:equalWidth="1"/>
          <w:docGrid w:linePitch="360"/>
        </w:sectPr>
      </w:pPr>
      <w:r>
        <w:rPr>
          <w:rFonts w:hint="eastAsia" w:ascii="宋体" w:hAnsi="宋体" w:eastAsia="宋体" w:cs="宋体"/>
          <w:color w:val="auto"/>
          <w:sz w:val="24"/>
          <w:highlight w:val="none"/>
        </w:rPr>
      </w:r>
      <w:r/>
    </w:p>
    <w:p>
      <w:pPr>
        <w:jc w:val="center"/>
        <w:spacing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6"/>
          <w:szCs w:val="36"/>
          <w:highlight w:val="none"/>
        </w:rPr>
        <w:t xml:space="preserve">二、中小企业声明函(实质性格式)</w:t>
      </w:r>
      <w:r/>
    </w:p>
    <w:p>
      <w:pPr>
        <w:pStyle w:val="971"/>
        <w:jc w:val="left"/>
        <w:spacing w:before="0" w:line="360" w:lineRule="auto"/>
        <w:tabs>
          <w:tab w:val="center" w:pos="4592" w:leader="none"/>
          <w:tab w:val="left" w:pos="7860" w:leader="none"/>
        </w:tabs>
        <w:rPr>
          <w:rFonts w:hint="eastAsia" w:ascii="宋体" w:hAnsi="宋体" w:eastAsia="宋体" w:cs="宋体"/>
          <w:color w:val="auto"/>
          <w:szCs w:val="30"/>
          <w:highlight w:val="none"/>
        </w:rPr>
      </w:pPr>
      <w:r>
        <w:rPr>
          <w:rFonts w:hint="eastAsia" w:ascii="宋体" w:hAnsi="宋体" w:eastAsia="宋体" w:cs="宋体"/>
          <w:bCs/>
          <w:color w:val="auto"/>
          <w:szCs w:val="30"/>
          <w:highlight w:val="none"/>
          <w:u w:val="single"/>
        </w:rPr>
        <w:t xml:space="preserve">注意事项:请按照第二章第一节《投标人须知资料表》中列明的项目属性选择货物类还是工程、服务类模板并填写。</w:t>
      </w:r>
      <w:r/>
    </w:p>
    <w:p>
      <w:pPr>
        <w:jc w:val="center"/>
        <w:spacing w:line="36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1、中小企业声明函(货物)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本公司(联合体)郑重申明,根据《政府采购促进中小企业发展管理办法》(财库【2020】46号)的规定，本公司(联合体)参加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(请填入采购单位名称)的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(请填入项目名称)采购活动，提供的货物全部由符合政策要求的中小企业制造。相关企业(含联合体中的中小企业、签订分包意向协议的中小企业)的具体情况如下:</w:t>
      </w:r>
      <w:r/>
    </w:p>
    <w:p>
      <w:pPr>
        <w:pStyle w:val="1175"/>
        <w:ind w:firstLine="48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(请填入标的名称)，属于</w:t>
      </w:r>
      <w:r>
        <w:rPr>
          <w:rFonts w:hint="eastAsia" w:ascii="宋体" w:hAnsi="宋体" w:eastAsia="宋体" w:cs="宋体"/>
          <w:color w:val="auto"/>
          <w:highlight w:val="none"/>
          <w:u w:val="single"/>
        </w:rPr>
        <w:t xml:space="preserve">  工业  </w:t>
      </w:r>
      <w:r>
        <w:rPr>
          <w:rFonts w:hint="eastAsia" w:ascii="宋体" w:hAnsi="宋体" w:eastAsia="宋体" w:cs="宋体"/>
          <w:color w:val="auto"/>
          <w:highlight w:val="none"/>
        </w:rPr>
        <w:t xml:space="preserve">(请填入招标文件中明确的所属行业)；制造商为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(请填入企业名称)，从业人员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(请选择填入所属类型:中型企业、小型企业、微型企业)。</w:t>
      </w:r>
      <w:r/>
    </w:p>
    <w:p>
      <w:pPr>
        <w:pStyle w:val="1175"/>
        <w:ind w:firstLine="48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(请填入标的名称)，属于</w:t>
      </w:r>
      <w:r>
        <w:rPr>
          <w:rFonts w:hint="eastAsia" w:ascii="宋体" w:hAnsi="宋体" w:eastAsia="宋体" w:cs="宋体"/>
          <w:color w:val="auto"/>
          <w:highlight w:val="none"/>
          <w:u w:val="single"/>
        </w:rPr>
        <w:t xml:space="preserve">  工业   </w:t>
      </w:r>
      <w:r>
        <w:rPr>
          <w:rFonts w:hint="eastAsia" w:ascii="宋体" w:hAnsi="宋体" w:eastAsia="宋体" w:cs="宋体"/>
          <w:color w:val="auto"/>
          <w:highlight w:val="none"/>
        </w:rPr>
        <w:t xml:space="preserve">(请填入招标文件中明确的所属行业)；制造商为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(请填入企业名称)，从业人员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(请选择填入所属类型:中型企业、小型企业、微型企业)。</w:t>
      </w:r>
      <w:r/>
    </w:p>
    <w:p>
      <w:pPr>
        <w:pStyle w:val="1175"/>
        <w:ind w:firstLine="48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1175"/>
        <w:ind w:firstLine="48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以上企业，不属于大企业的分支机构，不存在控股股东为大型企业的情形，也不存在与大型企业的负责人为同一人的情形。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firstLine="48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0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080"/>
        <w:jc w:val="right"/>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企业名称(加盖CA电子公章)</w:t>
      </w:r>
      <w:r>
        <w:rPr>
          <w:rFonts w:hint="eastAsia" w:ascii="宋体" w:hAnsi="宋体" w:eastAsia="宋体" w:cs="宋体"/>
          <w:color w:val="auto"/>
          <w:sz w:val="24"/>
          <w:highlight w:val="none"/>
          <w:lang w:val="zh-CN"/>
        </w:rPr>
        <w:t xml:space="preserve">:____________</w:t>
      </w: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 </w:t>
      </w:r>
      <w:r/>
    </w:p>
    <w:p>
      <w:pPr>
        <w:ind w:firstLine="76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日期:年 月 日</w:t>
      </w:r>
      <w:r/>
    </w:p>
    <w:p>
      <w:pPr>
        <w:ind w:firstLine="2650"/>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989"/>
        <w:spacing w:line="360" w:lineRule="auto"/>
        <w:rPr>
          <w:rFonts w:hint="eastAsia" w:ascii="宋体" w:hAnsi="宋体" w:eastAsia="宋体" w:cs="宋体"/>
          <w:color w:val="auto"/>
          <w:szCs w:val="20"/>
          <w:highlight w:val="none"/>
        </w:rPr>
      </w:pPr>
      <w:r>
        <w:rPr>
          <w:rFonts w:hint="eastAsia" w:ascii="宋体" w:hAnsi="宋体" w:eastAsia="宋体" w:cs="宋体"/>
          <w:color w:val="auto"/>
          <w:highlight w:val="none"/>
        </w:rPr>
        <w:t xml:space="preserve">注: 1、从业人员、营业收入和资产总额填报上一年度数据，无上一年度数据的新成立企业可不填报。</w:t>
      </w:r>
      <w:r/>
    </w:p>
    <w:p>
      <w:pPr>
        <w:pStyle w:val="1175"/>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2、中小企业划型标准规定参考《工信部联企业[2011]300号》。</w:t>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2、</w:t>
      </w:r>
      <w:r>
        <w:rPr>
          <w:rFonts w:hint="eastAsia" w:ascii="宋体" w:hAnsi="宋体" w:eastAsia="宋体" w:cs="宋体"/>
          <w:b/>
          <w:color w:val="auto"/>
          <w:sz w:val="32"/>
          <w:szCs w:val="32"/>
          <w:highlight w:val="none"/>
        </w:rPr>
        <w:t xml:space="preserve">中小企业声明函(服务、工程)格式</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本公司(联合体)郑重声明，根据《政府采购促进中小企业发展管理办法》(财库﹝2020﹞46 号)的规定，本公司(联合体)参加_____</w:t>
      </w:r>
      <w:r>
        <w:rPr>
          <w:rFonts w:hint="eastAsia" w:ascii="宋体" w:hAnsi="宋体" w:eastAsia="宋体" w:cs="宋体"/>
          <w:color w:val="auto"/>
          <w:sz w:val="24"/>
          <w:highlight w:val="none"/>
          <w:lang w:val="zh-CN"/>
        </w:rPr>
        <w:t xml:space="preserve">___</w:t>
      </w:r>
      <w:r>
        <w:rPr>
          <w:rFonts w:hint="eastAsia" w:ascii="宋体" w:hAnsi="宋体" w:eastAsia="宋体" w:cs="宋体"/>
          <w:color w:val="auto"/>
          <w:spacing w:val="6"/>
          <w:sz w:val="24"/>
          <w:highlight w:val="none"/>
        </w:rPr>
        <w:t xml:space="preserve">(</w:t>
      </w:r>
      <w:r>
        <w:rPr>
          <w:rFonts w:hint="eastAsia" w:ascii="宋体" w:hAnsi="宋体" w:eastAsia="宋体" w:cs="宋体"/>
          <w:color w:val="auto"/>
          <w:sz w:val="24"/>
          <w:highlight w:val="none"/>
        </w:rPr>
        <w:t xml:space="preserve">请填入采购单位名称</w:t>
      </w:r>
      <w:r>
        <w:rPr>
          <w:rFonts w:hint="eastAsia" w:ascii="宋体" w:hAnsi="宋体" w:eastAsia="宋体" w:cs="宋体"/>
          <w:color w:val="auto"/>
          <w:spacing w:val="6"/>
          <w:sz w:val="24"/>
          <w:highlight w:val="none"/>
        </w:rPr>
        <w:t xml:space="preserve">)的______(</w:t>
      </w:r>
      <w:r>
        <w:rPr>
          <w:rFonts w:hint="eastAsia" w:ascii="宋体" w:hAnsi="宋体" w:eastAsia="宋体" w:cs="宋体"/>
          <w:color w:val="auto"/>
          <w:sz w:val="24"/>
          <w:highlight w:val="none"/>
        </w:rPr>
        <w:t xml:space="preserve">请填入</w:t>
      </w:r>
      <w:r>
        <w:rPr>
          <w:rFonts w:hint="eastAsia" w:ascii="宋体" w:hAnsi="宋体" w:eastAsia="宋体" w:cs="宋体"/>
          <w:color w:val="auto"/>
          <w:spacing w:val="6"/>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0"/>
        </w:num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u w:val="none"/>
          <w:lang w:val="en-US" w:eastAsia="zh-CN"/>
        </w:rPr>
        <w:t xml:space="preserve">1.</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(请填入标的名称)，属于 (</w:t>
      </w:r>
      <w:r>
        <w:rPr>
          <w:rFonts w:hint="eastAsia" w:ascii="宋体" w:hAnsi="宋体" w:eastAsia="宋体" w:cs="宋体"/>
          <w:color w:val="auto"/>
          <w:spacing w:val="6"/>
          <w:sz w:val="24"/>
          <w:highlight w:val="none"/>
          <w:u w:val="single"/>
          <w:lang w:eastAsia="zh-CN"/>
        </w:rPr>
        <w:t xml:space="preserve">软件和信息技术服务业</w:t>
      </w:r>
      <w:r>
        <w:rPr>
          <w:rFonts w:hint="eastAsia" w:ascii="宋体" w:hAnsi="宋体" w:eastAsia="宋体" w:cs="宋体"/>
          <w:color w:val="auto"/>
          <w:spacing w:val="6"/>
          <w:sz w:val="24"/>
          <w:highlight w:val="none"/>
        </w:rPr>
        <w:t xml:space="preserve">)行业；承建(承接)企业为</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w:t>
      </w:r>
      <w:r>
        <w:rPr>
          <w:rFonts w:hint="eastAsia" w:ascii="宋体" w:hAnsi="宋体" w:eastAsia="宋体" w:cs="宋体"/>
          <w:color w:val="auto"/>
          <w:sz w:val="24"/>
          <w:highlight w:val="none"/>
        </w:rPr>
        <w:t xml:space="preserve">请</w:t>
      </w:r>
      <w:r>
        <w:rPr>
          <w:rFonts w:hint="eastAsia" w:ascii="宋体" w:hAnsi="宋体" w:eastAsia="宋体" w:cs="宋体"/>
          <w:color w:val="auto"/>
          <w:spacing w:val="6"/>
          <w:sz w:val="24"/>
          <w:highlight w:val="none"/>
        </w:rPr>
        <w:t xml:space="preserve">填入企业名称)，从业人员______人，营业收入为______万元，资产总额为______万元，属于</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(请选择填入所属类型:中型企业、小型企业、微型企业)；</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2.</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w:t>
      </w:r>
      <w:r>
        <w:rPr>
          <w:rFonts w:hint="eastAsia" w:ascii="宋体" w:hAnsi="宋体" w:eastAsia="宋体" w:cs="宋体"/>
          <w:color w:val="auto"/>
          <w:sz w:val="24"/>
          <w:highlight w:val="none"/>
        </w:rPr>
        <w:t xml:space="preserve">请</w:t>
      </w:r>
      <w:r>
        <w:rPr>
          <w:rFonts w:hint="eastAsia" w:ascii="宋体" w:hAnsi="宋体" w:eastAsia="宋体" w:cs="宋体"/>
          <w:color w:val="auto"/>
          <w:spacing w:val="6"/>
          <w:sz w:val="24"/>
          <w:highlight w:val="none"/>
        </w:rPr>
        <w:t xml:space="preserve">填入标的名称)，属于(</w:t>
      </w:r>
      <w:r>
        <w:rPr>
          <w:rFonts w:hint="eastAsia" w:ascii="宋体" w:hAnsi="宋体" w:eastAsia="宋体" w:cs="宋体"/>
          <w:color w:val="auto"/>
          <w:spacing w:val="6"/>
          <w:sz w:val="24"/>
          <w:highlight w:val="none"/>
          <w:u w:val="single"/>
          <w:lang w:eastAsia="zh-CN"/>
        </w:rPr>
        <w:t xml:space="preserve">软件和信息技术服务业</w:t>
      </w:r>
      <w:r>
        <w:rPr>
          <w:rFonts w:hint="eastAsia" w:ascii="宋体" w:hAnsi="宋体" w:eastAsia="宋体" w:cs="宋体"/>
          <w:color w:val="auto"/>
          <w:spacing w:val="6"/>
          <w:sz w:val="24"/>
          <w:highlight w:val="none"/>
        </w:rPr>
        <w:t xml:space="preserve">)行业；承建(承接)企业为</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(填入企业名称)，从业人员______人，营业收入为______万元，资产总额为______万元，属于</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(请选择填入所属类型:中型企业、小型企业、微型企业)；</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本企业对上述声明内容的真实性负责。如有虚假，将依法承担相应责任。</w:t>
      </w:r>
      <w:r/>
    </w:p>
    <w:p>
      <w:pPr>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40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080"/>
        <w:jc w:val="right"/>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企业名称(加盖CA电子公章)</w:t>
      </w:r>
      <w:r>
        <w:rPr>
          <w:rFonts w:hint="eastAsia" w:ascii="宋体" w:hAnsi="宋体" w:eastAsia="宋体" w:cs="宋体"/>
          <w:color w:val="auto"/>
          <w:sz w:val="24"/>
          <w:highlight w:val="none"/>
          <w:lang w:val="zh-CN"/>
        </w:rPr>
        <w:t xml:space="preserve">:____________</w:t>
      </w: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 </w:t>
      </w:r>
      <w:r/>
    </w:p>
    <w:p>
      <w:pPr>
        <w:ind w:firstLine="76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日期:年 月 日</w:t>
      </w:r>
      <w:r/>
    </w:p>
    <w:p>
      <w:pPr>
        <w:ind w:right="360" w:firstLine="4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89"/>
        <w:spacing w:line="360" w:lineRule="auto"/>
        <w:rPr>
          <w:rFonts w:hint="eastAsia" w:ascii="宋体" w:hAnsi="宋体" w:eastAsia="宋体" w:cs="宋体"/>
          <w:color w:val="auto"/>
          <w:szCs w:val="20"/>
          <w:highlight w:val="none"/>
        </w:rPr>
      </w:pPr>
      <w:r>
        <w:rPr>
          <w:rFonts w:hint="eastAsia" w:ascii="宋体" w:hAnsi="宋体" w:eastAsia="宋体" w:cs="宋体"/>
          <w:color w:val="auto"/>
          <w:highlight w:val="none"/>
        </w:rPr>
        <w:t xml:space="preserve">注: 1、从业人员、营业收入和资产总额填报上一年度数据，无上一年度数据的新成立企业可不填报。</w:t>
      </w:r>
      <w:r/>
    </w:p>
    <w:p>
      <w:pPr>
        <w:pStyle w:val="1175"/>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2、中小企业划型标准规定参考《工信部联企业[2011]300号》。</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3、</w:t>
      </w:r>
      <w:r>
        <w:rPr>
          <w:rFonts w:hint="eastAsia" w:ascii="宋体" w:hAnsi="宋体" w:eastAsia="宋体" w:cs="宋体"/>
          <w:b/>
          <w:color w:val="auto"/>
          <w:sz w:val="32"/>
          <w:szCs w:val="32"/>
          <w:highlight w:val="none"/>
        </w:rPr>
        <w:t xml:space="preserve">残疾人福利性单位声明函格式</w:t>
      </w:r>
      <w:r/>
    </w:p>
    <w:p>
      <w:pPr>
        <w:jc w:val="left"/>
        <w:spacing w:line="360" w:lineRule="auto"/>
        <w:rPr>
          <w:rFonts w:hint="eastAsia" w:ascii="宋体" w:hAnsi="宋体" w:eastAsia="宋体" w:cs="宋体"/>
          <w:b/>
          <w:bCs/>
          <w:color w:val="auto"/>
          <w:spacing w:val="6"/>
          <w:sz w:val="24"/>
          <w:highlight w:val="none"/>
        </w:rPr>
      </w:pPr>
      <w:r>
        <w:rPr>
          <w:rFonts w:hint="eastAsia" w:ascii="宋体" w:hAnsi="宋体" w:eastAsia="宋体" w:cs="宋体"/>
          <w:color w:val="auto"/>
          <w:spacing w:val="6"/>
          <w:sz w:val="24"/>
          <w:highlight w:val="none"/>
        </w:rPr>
        <w:t xml:space="preserve">  本单位郑重声明，根据《财政部 民政部 中国残疾人联合会关于促进残疾人就业政府采购政策的通知》(财库〔2017〕 141号)的规定，本单位</w:t>
      </w:r>
      <w:r>
        <w:rPr>
          <w:rFonts w:hint="eastAsia" w:ascii="宋体" w:hAnsi="宋体" w:eastAsia="宋体" w:cs="宋体"/>
          <w:b/>
          <w:bCs/>
          <w:color w:val="auto"/>
          <w:spacing w:val="6"/>
          <w:sz w:val="24"/>
          <w:highlight w:val="none"/>
        </w:rPr>
        <w:t xml:space="preserve">(请进行勾选):</w:t>
      </w:r>
      <w:r/>
    </w:p>
    <w:p>
      <w:pPr>
        <w:ind w:firstLine="482"/>
        <w:spacing w:line="360" w:lineRule="auto"/>
        <w:rPr>
          <w:rFonts w:hint="eastAsia" w:ascii="宋体" w:hAnsi="宋体" w:eastAsia="宋体" w:cs="宋体"/>
          <w:b/>
          <w:color w:val="auto"/>
          <w:spacing w:val="6"/>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b/>
          <w:color w:val="auto"/>
          <w:spacing w:val="6"/>
          <w:sz w:val="24"/>
          <w:highlight w:val="none"/>
        </w:rPr>
        <w:t xml:space="preserve">不属于符合条件的残疾人福利性单位。</w:t>
      </w:r>
      <w:r/>
    </w:p>
    <w:p>
      <w:pPr>
        <w:ind w:firstLine="482"/>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b/>
          <w:color w:val="auto"/>
          <w:spacing w:val="6"/>
          <w:sz w:val="24"/>
          <w:highlight w:val="none"/>
        </w:rPr>
        <w:t xml:space="preserve">属于符合条件的残疾人福利性单位，</w:t>
      </w:r>
      <w:r>
        <w:rPr>
          <w:rFonts w:hint="eastAsia" w:ascii="宋体" w:hAnsi="宋体" w:eastAsia="宋体" w:cs="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360" w:lineRule="auto"/>
        <w:rPr>
          <w:rFonts w:hint="eastAsia" w:ascii="宋体" w:hAnsi="宋体" w:eastAsia="宋体" w:cs="宋体"/>
          <w:color w:val="auto"/>
          <w:spacing w:val="6"/>
          <w:sz w:val="24"/>
          <w:highlight w:val="none"/>
        </w:rPr>
      </w:pPr>
      <w:r>
        <w:rPr>
          <w:rFonts w:hint="eastAsia" w:ascii="宋体" w:hAnsi="宋体" w:eastAsia="宋体" w:cs="宋体"/>
          <w:b/>
          <w:color w:val="auto"/>
          <w:spacing w:val="6"/>
          <w:sz w:val="24"/>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z w:val="24"/>
          <w:highlight w:val="none"/>
        </w:rPr>
        <w:t xml:space="preserve">（备注:如是残疾人福利单位的应提供，否则资格审查不予通过，作为无效投标。此声明函将随中标结果同时公告，接受社会监督。）</w:t>
      </w:r>
      <w:r/>
    </w:p>
    <w:p>
      <w:pPr>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4284"/>
        <w:jc w:val="right"/>
        <w:spacing w:line="400" w:lineRule="exact"/>
        <w:rPr>
          <w:rFonts w:hint="eastAsia" w:ascii="宋体" w:hAnsi="宋体" w:eastAsia="宋体" w:cs="宋体"/>
          <w:bCs/>
          <w:color w:val="auto"/>
          <w:sz w:val="24"/>
          <w:highlight w:val="none"/>
        </w:rPr>
      </w:pPr>
      <w:r>
        <w:rPr>
          <w:rFonts w:hint="eastAsia" w:ascii="宋体" w:hAnsi="宋体" w:eastAsia="宋体" w:cs="宋体"/>
          <w:color w:val="auto"/>
          <w:spacing w:val="6"/>
          <w:sz w:val="24"/>
          <w:highlight w:val="none"/>
        </w:rPr>
        <w:t xml:space="preserve">       单位</w:t>
      </w:r>
      <w:r>
        <w:rPr>
          <w:rFonts w:hint="eastAsia" w:ascii="宋体" w:hAnsi="宋体" w:eastAsia="宋体" w:cs="宋体"/>
          <w:color w:val="auto"/>
          <w:sz w:val="24"/>
          <w:highlight w:val="none"/>
        </w:rPr>
        <w:t xml:space="preserve">名称(加盖CA电子公章)</w:t>
      </w:r>
      <w:r>
        <w:rPr>
          <w:rFonts w:hint="eastAsia" w:ascii="宋体" w:hAnsi="宋体" w:eastAsia="宋体" w:cs="宋体"/>
          <w:color w:val="auto"/>
          <w:sz w:val="24"/>
          <w:highlight w:val="none"/>
          <w:lang w:val="zh-CN"/>
        </w:rPr>
        <w:t xml:space="preserve">:____________</w:t>
      </w: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 </w:t>
      </w:r>
      <w:r/>
    </w:p>
    <w:p>
      <w:pPr>
        <w:jc w:val="righ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日期:年 月 日                       </w:t>
      </w:r>
      <w:r/>
    </w:p>
    <w:p>
      <w:pPr>
        <w:ind w:firstLine="643"/>
        <w:spacing w:line="588" w:lineRule="exact"/>
        <w:rPr>
          <w:rFonts w:hint="eastAsia" w:ascii="宋体" w:hAnsi="宋体" w:eastAsia="宋体" w:cs="宋体"/>
          <w:color w:val="auto"/>
          <w:sz w:val="24"/>
          <w:highlight w:val="none"/>
        </w:rPr>
      </w:pPr>
      <w:r>
        <w:rPr>
          <w:rFonts w:hint="eastAsia" w:ascii="宋体" w:hAnsi="宋体" w:eastAsia="宋体" w:cs="宋体"/>
          <w:b/>
          <w:color w:val="auto"/>
          <w:sz w:val="32"/>
          <w:szCs w:val="32"/>
          <w:highlight w:val="none"/>
        </w:rPr>
        <w:t xml:space="preserve">监狱企业证明文件。</w:t>
      </w:r>
      <w:r>
        <w:rPr>
          <w:rFonts w:hint="eastAsia" w:ascii="宋体" w:hAnsi="宋体" w:eastAsia="宋体" w:cs="宋体"/>
          <w:color w:val="auto"/>
          <w:sz w:val="24"/>
          <w:highlight w:val="none"/>
        </w:rPr>
        <w:t xml:space="preserve">监狱企业须提供由省级以上监狱管理局、戒毒管理局（含新疆生产建设兵团）出具的属于监狱企业的证明文件。（备注:如是监狱企业的应提供，否则资格审查不予通过，作为无效投标。）</w:t>
      </w:r>
      <w:r/>
    </w:p>
    <w:p>
      <w:pPr>
        <w:ind w:right="1560" w:firstLine="504"/>
        <w:jc w:val="center"/>
        <w:spacing w:line="588"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jc w:val="left"/>
        <w:spacing w:line="336" w:lineRule="auto"/>
        <w:widowControl/>
        <w:rPr>
          <w:rFonts w:hint="eastAsia" w:ascii="宋体" w:hAnsi="宋体" w:eastAsia="宋体" w:cs="宋体"/>
          <w:color w:val="auto"/>
          <w:sz w:val="24"/>
          <w:highlight w:val="none"/>
        </w:rPr>
      </w:pPr>
      <w:r/>
      <w:bookmarkStart w:id="285" w:name="_Toc480942350"/>
      <w:r/>
      <w:bookmarkStart w:id="286" w:name="_Toc305158899"/>
      <w:r/>
      <w:bookmarkStart w:id="287" w:name="_Toc226965747"/>
      <w:r/>
      <w:bookmarkStart w:id="288" w:name="_Toc142311059"/>
      <w:r/>
      <w:bookmarkStart w:id="289" w:name="_Ref467988705"/>
      <w:r/>
      <w:bookmarkStart w:id="290" w:name="_Toc150774762"/>
      <w:r/>
      <w:bookmarkStart w:id="291" w:name="_Toc265228395"/>
      <w:r/>
      <w:bookmarkStart w:id="292" w:name="_Toc127151557"/>
      <w:r/>
      <w:bookmarkStart w:id="293" w:name="_Toc226309801"/>
      <w:r/>
      <w:bookmarkStart w:id="294" w:name="_Toc264969247"/>
      <w:r/>
      <w:bookmarkStart w:id="295" w:name="_Toc520356218"/>
      <w:r/>
      <w:bookmarkStart w:id="296" w:name="_Toc305158825"/>
      <w:r/>
      <w:bookmarkStart w:id="297" w:name="_Toc150480795"/>
      <w:r/>
      <w:bookmarkStart w:id="298" w:name="_Toc195842922"/>
      <w:r/>
      <w:bookmarkStart w:id="299" w:name="_Toc226965830"/>
      <w:r/>
      <w:bookmarkStart w:id="300" w:name="_Toc226337253"/>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三、投标函(实质性格式)</w:t>
      </w:r>
      <w:r/>
    </w:p>
    <w:p>
      <w:pPr>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(采购人或采购代理机构)</w:t>
      </w:r>
      <w:r/>
    </w:p>
    <w:p>
      <w:pPr>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408"/>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我方参加你方就___________(请填入项目名称，项目编号)组织的政府采购活动，并对此项目进行响应。</w:t>
      </w:r>
      <w:r/>
    </w:p>
    <w:p>
      <w:pPr>
        <w:ind w:firstLine="408"/>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 我方</w:t>
      </w:r>
      <w:r>
        <w:rPr>
          <w:rFonts w:hint="eastAsia" w:ascii="宋体" w:hAnsi="宋体" w:eastAsia="宋体" w:cs="宋体"/>
          <w:color w:val="auto"/>
          <w:sz w:val="24"/>
          <w:highlight w:val="none"/>
        </w:rPr>
        <w:t xml:space="preserve">已详细审查全部招标文件</w:t>
      </w:r>
      <w:r>
        <w:rPr>
          <w:rFonts w:hint="eastAsia" w:ascii="宋体" w:hAnsi="宋体" w:eastAsia="宋体" w:cs="宋体"/>
          <w:color w:val="auto"/>
          <w:sz w:val="24"/>
          <w:szCs w:val="20"/>
          <w:highlight w:val="none"/>
        </w:rPr>
        <w:t xml:space="preserve">，自愿参与响应并承诺如下:</w:t>
      </w:r>
      <w:r/>
    </w:p>
    <w:p>
      <w:pPr>
        <w:ind w:left="360" w:firstLine="72"/>
        <w:spacing w:line="360" w:lineRule="auto"/>
        <w:tabs>
          <w:tab w:val="left" w:pos="720" w:leader="none"/>
          <w:tab w:val="left" w:pos="90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(1)本投标有效期为自提交投标文件的截止之日起</w:t>
      </w:r>
      <w:r>
        <w:rPr>
          <w:rFonts w:hint="eastAsia" w:ascii="宋体" w:hAnsi="宋体" w:eastAsia="宋体" w:cs="宋体"/>
          <w:color w:val="auto"/>
          <w:sz w:val="24"/>
          <w:highlight w:val="none"/>
        </w:rPr>
        <w:t xml:space="preserve">60</w:t>
      </w:r>
      <w:r>
        <w:rPr>
          <w:rFonts w:hint="eastAsia" w:ascii="宋体" w:hAnsi="宋体" w:eastAsia="宋体" w:cs="宋体"/>
          <w:color w:val="auto"/>
          <w:sz w:val="24"/>
          <w:szCs w:val="20"/>
          <w:highlight w:val="none"/>
        </w:rPr>
        <w:t xml:space="preserve">个日历日。</w:t>
      </w:r>
      <w:r/>
    </w:p>
    <w:p>
      <w:pPr>
        <w:ind w:left="360" w:firstLine="72"/>
        <w:spacing w:line="360" w:lineRule="auto"/>
        <w:tabs>
          <w:tab w:val="left" w:pos="720" w:leader="none"/>
          <w:tab w:val="left" w:pos="90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其他补充条款(如有):</w:t>
      </w:r>
      <w:r>
        <w:rPr>
          <w:rFonts w:hint="eastAsia" w:ascii="宋体" w:hAnsi="宋体" w:eastAsia="宋体" w:cs="宋体"/>
          <w:color w:val="auto"/>
          <w:sz w:val="24"/>
          <w:szCs w:val="20"/>
          <w:highlight w:val="none"/>
        </w:rPr>
        <w:t xml:space="preserve">___________</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与本响应有关的一切正式往来信函请寄:</w:t>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地址_________________________     传真____________________________</w:t>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电话_________________________     函件________________________</w:t>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日期:_____年______月______日   </w:t>
      </w:r>
      <w:r/>
    </w:p>
    <w:p>
      <w:pPr>
        <w:ind w:left="420"/>
        <w:spacing w:line="360" w:lineRule="auto"/>
        <w:tabs>
          <w:tab w:val="left" w:pos="5580" w:leader="none"/>
        </w:tabs>
        <w:rPr>
          <w:rFonts w:hint="eastAsia"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u w:val="single"/>
        </w:rPr>
      </w:r>
      <w:r/>
    </w:p>
    <w:p>
      <w:pPr>
        <w:jc w:val="center"/>
        <w:widowControl/>
        <w:rPr>
          <w:rFonts w:hint="eastAsia" w:ascii="宋体" w:hAnsi="宋体" w:eastAsia="宋体" w:cs="宋体"/>
          <w:b/>
          <w:color w:val="auto"/>
          <w:sz w:val="32"/>
          <w:szCs w:val="32"/>
          <w:highlight w:val="none"/>
        </w:rPr>
      </w:pPr>
      <w:r/>
      <w:bookmarkStart w:id="301" w:name="_Hlt520355938"/>
      <w:r/>
      <w:bookmarkEnd w:id="301"/>
      <w:r/>
      <w:bookmarkStart w:id="302" w:name="_Hlt520356243"/>
      <w:r/>
      <w:bookmarkEnd w:id="302"/>
      <w:r>
        <w:rPr>
          <w:rFonts w:hint="eastAsia" w:ascii="宋体" w:hAnsi="宋体" w:eastAsia="宋体" w:cs="宋体"/>
          <w:color w:val="auto"/>
          <w:sz w:val="24"/>
          <w:highlight w:val="none"/>
        </w:rPr>
        <w:br w:type="page" w:clear="all"/>
      </w:r>
      <w:r>
        <w:rPr>
          <w:rFonts w:hint="eastAsia" w:ascii="宋体" w:hAnsi="宋体" w:eastAsia="宋体" w:cs="宋体"/>
          <w:b/>
          <w:color w:val="auto"/>
          <w:sz w:val="36"/>
          <w:szCs w:val="36"/>
          <w:highlight w:val="none"/>
        </w:rPr>
        <w:t xml:space="preserve">四、法定代表人资格证明、授权委托书(实质性格式)</w:t>
      </w:r>
      <w:r/>
    </w:p>
    <w:p>
      <w:pPr>
        <w:jc w:val="center"/>
        <w:spacing w:before="12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1、法定代表人资格证明书</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     性别:       年龄:      职务:</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(请填入投标人名称)</w:t>
      </w:r>
      <w:r>
        <w:rPr>
          <w:rFonts w:hint="eastAsia" w:ascii="宋体" w:hAnsi="宋体" w:eastAsia="宋体" w:cs="宋体"/>
          <w:color w:val="auto"/>
          <w:sz w:val="24"/>
          <w:highlight w:val="none"/>
        </w:rPr>
        <w:t xml:space="preserve">的法定代表人。为参与</w:t>
      </w:r>
      <w:r>
        <w:rPr>
          <w:rFonts w:hint="eastAsia" w:ascii="宋体" w:hAnsi="宋体" w:eastAsia="宋体" w:cs="宋体"/>
          <w:color w:val="auto"/>
          <w:sz w:val="24"/>
          <w:highlight w:val="none"/>
          <w:u w:val="single"/>
        </w:rPr>
        <w:t xml:space="preserve">(请填入项目名称)</w:t>
      </w:r>
      <w:r>
        <w:rPr>
          <w:rFonts w:hint="eastAsia" w:ascii="宋体" w:hAnsi="宋体" w:eastAsia="宋体" w:cs="宋体"/>
          <w:color w:val="auto"/>
          <w:sz w:val="24"/>
          <w:highlight w:val="none"/>
        </w:rPr>
        <w:t xml:space="preserve">的政府采购活动，</w:t>
      </w:r>
      <w:r>
        <w:rPr>
          <w:rFonts w:hint="eastAsia" w:ascii="宋体" w:hAnsi="宋体" w:eastAsia="宋体" w:cs="宋体"/>
          <w:color w:val="auto"/>
          <w:sz w:val="24"/>
          <w:szCs w:val="20"/>
          <w:highlight w:val="none"/>
        </w:rPr>
        <w:t xml:space="preserve">签署、澄清确认、递交、撤回、修改</w:t>
      </w:r>
      <w:r>
        <w:rPr>
          <w:rFonts w:hint="eastAsia" w:ascii="宋体" w:hAnsi="宋体" w:eastAsia="宋体" w:cs="宋体"/>
          <w:color w:val="auto"/>
          <w:sz w:val="24"/>
          <w:highlight w:val="none"/>
        </w:rPr>
        <w:t xml:space="preserve">上述项目的投标文件、进行签署合同和处理与之有关的一切事务。</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89"/>
        <w:ind w:right="-46"/>
        <w:spacing w:line="583" w:lineRule="auto"/>
        <w:rPr>
          <w:rFonts w:hint="eastAsia" w:ascii="宋体" w:hAnsi="宋体" w:eastAsia="宋体" w:cs="宋体"/>
          <w:color w:val="auto"/>
          <w:spacing w:val="-3"/>
          <w:highlight w:val="none"/>
        </w:rPr>
      </w:pPr>
      <w:r>
        <w:rPr>
          <w:rFonts w:hint="eastAsia" w:ascii="宋体" w:hAnsi="宋体" w:eastAsia="宋体" w:cs="宋体"/>
          <w:color w:val="auto"/>
          <w:highlight w:val="none"/>
        </w:rPr>
        <w:t xml:space="preserve">附:</w:t>
      </w:r>
      <w:r>
        <w:rPr>
          <w:rFonts w:hint="eastAsia" w:ascii="宋体" w:hAnsi="宋体" w:eastAsia="宋体" w:cs="宋体"/>
          <w:color w:val="auto"/>
          <w:spacing w:val="-3"/>
          <w:highlight w:val="none"/>
        </w:rPr>
        <w:t xml:space="preserve">法</w:t>
      </w:r>
      <w:r>
        <w:rPr>
          <w:rFonts w:hint="eastAsia" w:ascii="宋体" w:hAnsi="宋体" w:eastAsia="宋体" w:cs="宋体"/>
          <w:color w:val="auto"/>
          <w:highlight w:val="none"/>
        </w:rPr>
        <w:t xml:space="preserve">定</w:t>
      </w:r>
      <w:r>
        <w:rPr>
          <w:rFonts w:hint="eastAsia" w:ascii="宋体" w:hAnsi="宋体" w:eastAsia="宋体" w:cs="宋体"/>
          <w:color w:val="auto"/>
          <w:spacing w:val="-3"/>
          <w:highlight w:val="none"/>
        </w:rPr>
        <w:t xml:space="preserve">代</w:t>
      </w:r>
      <w:r>
        <w:rPr>
          <w:rFonts w:hint="eastAsia" w:ascii="宋体" w:hAnsi="宋体" w:eastAsia="宋体" w:cs="宋体"/>
          <w:color w:val="auto"/>
          <w:highlight w:val="none"/>
        </w:rPr>
        <w:t xml:space="preserve">表</w:t>
      </w:r>
      <w:r>
        <w:rPr>
          <w:rFonts w:hint="eastAsia" w:ascii="宋体" w:hAnsi="宋体" w:eastAsia="宋体" w:cs="宋体"/>
          <w:color w:val="auto"/>
          <w:spacing w:val="-3"/>
          <w:highlight w:val="none"/>
        </w:rPr>
        <w:t xml:space="preserve">人</w:t>
      </w:r>
      <w:r>
        <w:rPr>
          <w:rFonts w:hint="eastAsia" w:ascii="宋体" w:hAnsi="宋体" w:eastAsia="宋体" w:cs="宋体"/>
          <w:color w:val="auto"/>
          <w:highlight w:val="none"/>
        </w:rPr>
        <w:t xml:space="preserve">(</w:t>
      </w:r>
      <w:r>
        <w:rPr>
          <w:rFonts w:hint="eastAsia" w:ascii="宋体" w:hAnsi="宋体" w:eastAsia="宋体" w:cs="宋体"/>
          <w:color w:val="auto"/>
          <w:spacing w:val="-3"/>
          <w:highlight w:val="none"/>
        </w:rPr>
        <w:t xml:space="preserve">单</w:t>
      </w:r>
      <w:r>
        <w:rPr>
          <w:rFonts w:hint="eastAsia" w:ascii="宋体" w:hAnsi="宋体" w:eastAsia="宋体" w:cs="宋体"/>
          <w:color w:val="auto"/>
          <w:highlight w:val="none"/>
        </w:rPr>
        <w:t xml:space="preserve">位</w:t>
      </w:r>
      <w:r>
        <w:rPr>
          <w:rFonts w:hint="eastAsia" w:ascii="宋体" w:hAnsi="宋体" w:eastAsia="宋体" w:cs="宋体"/>
          <w:color w:val="auto"/>
          <w:spacing w:val="-3"/>
          <w:highlight w:val="none"/>
        </w:rPr>
        <w:t xml:space="preserve">负</w:t>
      </w:r>
      <w:r>
        <w:rPr>
          <w:rFonts w:hint="eastAsia" w:ascii="宋体" w:hAnsi="宋体" w:eastAsia="宋体" w:cs="宋体"/>
          <w:color w:val="auto"/>
          <w:highlight w:val="none"/>
        </w:rPr>
        <w:t xml:space="preserve">责人</w:t>
      </w:r>
      <w:r>
        <w:rPr>
          <w:rFonts w:hint="eastAsia" w:ascii="宋体" w:hAnsi="宋体" w:eastAsia="宋体" w:cs="宋体"/>
          <w:color w:val="auto"/>
          <w:spacing w:val="-3"/>
          <w:highlight w:val="none"/>
        </w:rPr>
        <w:t xml:space="preserve">)有效期内的身份证正反面复印件。</w:t>
      </w:r>
      <w:r/>
    </w:p>
    <w:tbl>
      <w:tblPr>
        <w:tblStyle w:val="98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56"/>
        <w:gridCol w:w="4907"/>
      </w:tblGrid>
      <w:tr>
        <w:trPr>
          <w:trHeight w:val="1399"/>
        </w:trPr>
        <w:tc>
          <w:tcPr>
            <w:tcW w:w="505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907"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投标人名称(加盖CA电子公章)</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32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日期:_____年______月______日</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说明:</w:t>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1.若投标人为事业单位或其他组织或分支机构(仅当招标文件注明允许分支机构响应的)，则法定代表人(单位负责人)处的签署人可为单位负责人。</w:t>
      </w:r>
      <w:r/>
    </w:p>
    <w:p>
      <w:pPr>
        <w:jc w:val="left"/>
        <w:spacing w:line="360" w:lineRule="auto"/>
        <w:tabs>
          <w:tab w:val="left" w:pos="5580" w:leader="none"/>
        </w:tabs>
        <w:rPr>
          <w:rFonts w:hint="eastAsia" w:ascii="宋体" w:hAnsi="宋体" w:eastAsia="宋体" w:cs="宋体"/>
          <w:i/>
          <w:color w:val="auto"/>
          <w:sz w:val="24"/>
          <w:szCs w:val="20"/>
          <w:highlight w:val="none"/>
          <w:u w:val="single"/>
        </w:rPr>
      </w:pPr>
      <w:r>
        <w:rPr>
          <w:rFonts w:hint="eastAsia" w:ascii="宋体" w:hAnsi="宋体" w:eastAsia="宋体" w:cs="宋体"/>
          <w:color w:val="auto"/>
          <w:sz w:val="24"/>
          <w:szCs w:val="20"/>
          <w:highlight w:val="none"/>
        </w:rPr>
        <w:t xml:space="preserve">2.投标人为自然人的情形，可不提供本《授权委托书》。</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b/>
          <w:bCs/>
          <w:color w:val="auto"/>
          <w:sz w:val="36"/>
          <w:szCs w:val="36"/>
          <w:highlight w:val="none"/>
        </w:rPr>
        <w:br w:type="page" w:clear="all"/>
      </w:r>
      <w:r>
        <w:rPr>
          <w:rFonts w:hint="eastAsia" w:ascii="宋体" w:hAnsi="宋体" w:eastAsia="宋体" w:cs="宋体"/>
          <w:b/>
          <w:bCs/>
          <w:color w:val="auto"/>
          <w:sz w:val="36"/>
          <w:szCs w:val="36"/>
          <w:highlight w:val="none"/>
        </w:rPr>
        <w:t xml:space="preserve">2、</w:t>
      </w:r>
      <w:r>
        <w:rPr>
          <w:rFonts w:hint="eastAsia" w:ascii="宋体" w:hAnsi="宋体" w:eastAsia="宋体" w:cs="宋体"/>
          <w:b/>
          <w:color w:val="auto"/>
          <w:sz w:val="32"/>
          <w:szCs w:val="32"/>
          <w:highlight w:val="none"/>
        </w:rPr>
        <w:t xml:space="preserve">授权委托书(代理人使用)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本授权委托书宣告:本人</w:t>
      </w:r>
      <w:r>
        <w:rPr>
          <w:rFonts w:hint="eastAsia" w:ascii="宋体" w:hAnsi="宋体" w:eastAsia="宋体" w:cs="宋体"/>
          <w:color w:val="auto"/>
          <w:sz w:val="24"/>
          <w:highlight w:val="none"/>
          <w:u w:val="single"/>
        </w:rPr>
        <w:t xml:space="preserve">(请填入姓名)</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(请填入单位名称)</w:t>
      </w:r>
      <w:r>
        <w:rPr>
          <w:rFonts w:hint="eastAsia" w:ascii="宋体" w:hAnsi="宋体" w:eastAsia="宋体" w:cs="宋体"/>
          <w:color w:val="auto"/>
          <w:sz w:val="24"/>
          <w:highlight w:val="none"/>
        </w:rPr>
        <w:t xml:space="preserve">的法定代表人，现授权委托</w:t>
      </w:r>
      <w:r>
        <w:rPr>
          <w:rFonts w:hint="eastAsia" w:ascii="宋体" w:hAnsi="宋体" w:eastAsia="宋体" w:cs="宋体"/>
          <w:color w:val="auto"/>
          <w:sz w:val="24"/>
          <w:highlight w:val="none"/>
          <w:u w:val="single"/>
        </w:rPr>
        <w:t xml:space="preserve">(请填入姓名)</w:t>
      </w:r>
      <w:r>
        <w:rPr>
          <w:rFonts w:hint="eastAsia" w:ascii="宋体" w:hAnsi="宋体" w:eastAsia="宋体" w:cs="宋体"/>
          <w:color w:val="auto"/>
          <w:sz w:val="24"/>
          <w:highlight w:val="none"/>
        </w:rPr>
        <w:t xml:space="preserve">为我单位代理人，该代理人有权在项目采购的活动中，以我单位的名义领取招标文件、资格审查、签署投标文件、与采购人协商、签订合同书以及执行一切与此有关的事项。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代理人在其权限范围及代理期限内签署的一切有关合同、协议和文件，我单位均予以认可并愿承担相应的法律责任。</w:t>
      </w:r>
      <w:r/>
    </w:p>
    <w:p>
      <w:pPr>
        <w:ind w:firstLine="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委托期限:至本项目结束或新的授权委托书送到之日。代理人无转委托权。</w:t>
      </w:r>
      <w:r/>
    </w:p>
    <w:tbl>
      <w:tblPr>
        <w:tblStyle w:val="98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29"/>
      </w:tblGrid>
      <w:tr>
        <w:trPr/>
        <w:tc>
          <w:tcPr>
            <w:tcW w:w="4729" w:type="dxa"/>
            <w:textDirection w:val="lrTb"/>
            <w:noWrap w:val="false"/>
          </w:tcPr>
          <w:p>
            <w:pPr>
              <w:ind w:firstLine="72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委托代理人(签字或签章):</w:t>
            </w:r>
            <w:r/>
          </w:p>
        </w:tc>
      </w:tr>
      <w:tr>
        <w:trPr/>
        <w:tc>
          <w:tcPr>
            <w:tcW w:w="4729" w:type="dxa"/>
            <w:textDirection w:val="lrTb"/>
            <w:noWrap w:val="false"/>
          </w:tcPr>
          <w:p>
            <w:pPr>
              <w:ind w:firstLine="72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投标人名称(加盖CA电子公章):</w:t>
            </w:r>
            <w:r/>
          </w:p>
        </w:tc>
      </w:tr>
      <w:tr>
        <w:trPr/>
        <w:tc>
          <w:tcPr>
            <w:tcW w:w="4729" w:type="dxa"/>
            <w:textDirection w:val="lrTb"/>
            <w:noWrap w:val="false"/>
          </w:tcPr>
          <w:p>
            <w:pPr>
              <w:ind w:firstLine="72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法定代表人(签字或签章):</w:t>
            </w:r>
            <w:r/>
          </w:p>
        </w:tc>
      </w:tr>
      <w:tr>
        <w:trPr>
          <w:trHeight w:val="80"/>
        </w:trPr>
        <w:tc>
          <w:tcPr>
            <w:tcW w:w="4729" w:type="dxa"/>
            <w:textDirection w:val="lrTb"/>
            <w:noWrap w:val="false"/>
          </w:tcPr>
          <w:p>
            <w:pPr>
              <w:ind w:firstLine="72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日期:_____年______月______日</w:t>
            </w:r>
            <w:r/>
          </w:p>
        </w:tc>
      </w:tr>
    </w:tbl>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法定代表人有效期内的身份证正反面复印件:</w:t>
      </w:r>
      <w:r/>
    </w:p>
    <w:tbl>
      <w:tblPr>
        <w:tblStyle w:val="98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56"/>
        <w:gridCol w:w="4907"/>
      </w:tblGrid>
      <w:tr>
        <w:trPr>
          <w:trHeight w:val="1399"/>
        </w:trPr>
        <w:tc>
          <w:tcPr>
            <w:tcW w:w="505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907"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pStyle w:val="982"/>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授代表人有效期内的身份证正反面复印件:</w:t>
      </w:r>
      <w:r/>
    </w:p>
    <w:tbl>
      <w:tblPr>
        <w:tblStyle w:val="98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56"/>
        <w:gridCol w:w="4907"/>
      </w:tblGrid>
      <w:tr>
        <w:trPr>
          <w:trHeight w:val="1399"/>
        </w:trPr>
        <w:tc>
          <w:tcPr>
            <w:tcW w:w="505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907"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pStyle w:val="1204"/>
        <w:spacing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204"/>
        <w:spacing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备注:</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1、法定代表人参加投标的，提供法定代表人资格证明和本人身份证扫描件。</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2、委托代理人参加投标的，提供法人资格证明、授权委托书【</w:t>
      </w:r>
      <w:r>
        <w:rPr>
          <w:rFonts w:hint="eastAsia" w:ascii="宋体" w:hAnsi="宋体" w:eastAsia="宋体" w:cs="宋体"/>
          <w:b/>
          <w:bCs/>
          <w:color w:val="auto"/>
          <w:sz w:val="24"/>
          <w:highlight w:val="none"/>
          <w:lang w:eastAsia="zh-CN"/>
        </w:rPr>
        <w:t xml:space="preserve">授权代表提供投标人为其缴纳的近三个月（2025年8月-2025年10月）中任意一个月的社保证明</w:t>
      </w:r>
      <w:r>
        <w:rPr>
          <w:rFonts w:hint="eastAsia" w:ascii="宋体" w:hAnsi="宋体" w:eastAsia="宋体" w:cs="宋体"/>
          <w:b/>
          <w:bCs/>
          <w:color w:val="auto"/>
          <w:sz w:val="24"/>
          <w:highlight w:val="none"/>
        </w:rPr>
        <w:t xml:space="preserve">】和本人身份证原件扫描件。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五、政府采购供应商信用承诺书(实质性格式)</w:t>
      </w:r>
      <w:r/>
    </w:p>
    <w:p>
      <w:pPr>
        <w:ind w:firstLine="6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五、承诺本单位自觉接受行政管理部门、行业组织、社会公众、新闻舆论的监督。 </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七、承诺本单位在信用中国(江苏)网站中无违法违规、较重或严重失信记录。 </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八、承诺本单位提出政府采购质疑和投诉坚持依法依规、诚实信用原则。</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九、根据政府采购相关法律法规的规定需要作出的其他承诺。 </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十一、承诺本单位同意将以上承诺事项上网公示，违背承诺约定行为将作为失信信息，记录到常州市公共信用信息系统，并予以公开。</w:t>
      </w:r>
      <w:r/>
    </w:p>
    <w:p>
      <w:pPr>
        <w:pStyle w:val="1087"/>
        <w:ind w:right="1050" w:firstLine="2880"/>
        <w:jc w:val="both"/>
        <w:spacing w:line="312"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spacing w:before="25" w:after="25" w:line="312"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eastAsia="宋体" w:cs="宋体"/>
          <w:color w:val="auto"/>
          <w:sz w:val="24"/>
          <w:highlight w:val="none"/>
          <w:lang w:val="zh-CN"/>
        </w:rPr>
        <w:t xml:space="preserve">:____________</w:t>
      </w:r>
      <w:r/>
    </w:p>
    <w:p>
      <w:pPr>
        <w:spacing w:before="25" w:after="25" w:line="312"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法定代表人(或单位负责人)签字或签章</w:t>
      </w:r>
      <w:r>
        <w:rPr>
          <w:rFonts w:hint="eastAsia" w:ascii="宋体" w:hAnsi="宋体" w:eastAsia="宋体" w:cs="宋体"/>
          <w:color w:val="auto"/>
          <w:sz w:val="24"/>
          <w:highlight w:val="none"/>
        </w:rPr>
        <w:t xml:space="preserve">:</w:t>
      </w:r>
      <w:r/>
    </w:p>
    <w:p>
      <w:pPr>
        <w:spacing w:before="25" w:after="25"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36"/>
          <w:szCs w:val="36"/>
          <w:highlight w:val="none"/>
        </w:rPr>
      </w:pPr>
      <w:r/>
      <w:bookmarkStart w:id="303" w:name="_Toc164608672"/>
      <w:r/>
      <w:bookmarkStart w:id="304" w:name="_Toc264969248"/>
      <w:r/>
      <w:bookmarkStart w:id="305" w:name="_Toc164608827"/>
      <w:r/>
      <w:bookmarkStart w:id="306" w:name="_Toc265228396"/>
      <w:r/>
      <w:bookmarkStart w:id="307" w:name="_Toc305158826"/>
      <w:r/>
      <w:bookmarkStart w:id="308" w:name="_Toc226965831"/>
      <w:r/>
      <w:bookmarkStart w:id="309" w:name="_Toc226965748"/>
      <w:r/>
      <w:bookmarkStart w:id="310" w:name="_Toc226309802"/>
      <w:r/>
      <w:bookmarkStart w:id="311" w:name="_Toc226337254"/>
      <w:r/>
      <w:bookmarkStart w:id="312" w:name="_Toc195842923"/>
      <w:r/>
      <w:bookmarkStart w:id="313" w:name="_Toc305158900"/>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六、</w:t>
      </w:r>
      <w:bookmarkEnd w:id="303"/>
      <w:r/>
      <w:bookmarkEnd w:id="304"/>
      <w:r/>
      <w:bookmarkEnd w:id="305"/>
      <w:r/>
      <w:bookmarkEnd w:id="306"/>
      <w:r/>
      <w:bookmarkEnd w:id="307"/>
      <w:r/>
      <w:bookmarkEnd w:id="308"/>
      <w:r/>
      <w:bookmarkEnd w:id="309"/>
      <w:r/>
      <w:bookmarkEnd w:id="310"/>
      <w:r/>
      <w:bookmarkEnd w:id="311"/>
      <w:r/>
      <w:bookmarkEnd w:id="312"/>
      <w:r/>
      <w:bookmarkEnd w:id="313"/>
      <w:r>
        <w:rPr>
          <w:rFonts w:hint="eastAsia" w:ascii="宋体" w:hAnsi="宋体" w:eastAsia="宋体" w:cs="宋体"/>
          <w:b/>
          <w:color w:val="auto"/>
          <w:sz w:val="36"/>
          <w:szCs w:val="36"/>
          <w:highlight w:val="none"/>
        </w:rPr>
        <w:t xml:space="preserve">开标一览表</w:t>
      </w:r>
      <w:r/>
    </w:p>
    <w:p>
      <w:pPr>
        <w:jc w:val="left"/>
        <w:spacing w:line="360" w:lineRule="auto"/>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980"/>
        <w:tblW w:w="97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69"/>
        <w:gridCol w:w="3291"/>
        <w:gridCol w:w="2953"/>
        <w:gridCol w:w="2544"/>
      </w:tblGrid>
      <w:tr>
        <w:trPr>
          <w:jc w:val="center"/>
          <w:trHeight w:val="531"/>
        </w:trPr>
        <w:tc>
          <w:tcPr>
            <w:tcBorders>
              <w:top w:val="single" w:color="auto" w:sz="4" w:space="0"/>
              <w:left w:val="single" w:color="auto" w:sz="4" w:space="0"/>
              <w:bottom w:val="single" w:color="auto" w:sz="4" w:space="0"/>
              <w:right w:val="single" w:color="auto" w:sz="4" w:space="0"/>
            </w:tcBorders>
            <w:tcW w:w="969" w:type="dxa"/>
            <w:vAlign w:val="center"/>
            <w:vMerge w:val="restart"/>
            <w:textDirection w:val="lrTb"/>
            <w:noWrap w:val="false"/>
          </w:tcPr>
          <w:p>
            <w:pPr>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291" w:type="dxa"/>
            <w:vAlign w:val="center"/>
            <w:vMerge w:val="restart"/>
            <w:textDirection w:val="lrTb"/>
            <w:noWrap w:val="false"/>
          </w:tcPr>
          <w:p>
            <w:pPr>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 xml:space="preserve">投标人</w:t>
            </w:r>
            <w:r>
              <w:rPr>
                <w:rFonts w:hint="eastAsia" w:ascii="宋体" w:hAnsi="宋体" w:eastAsia="宋体" w:cs="宋体"/>
                <w:b/>
                <w:color w:val="auto"/>
                <w:sz w:val="24"/>
                <w:highlight w:val="none"/>
              </w:rPr>
              <w:t xml:space="preserve">名称</w:t>
            </w:r>
            <w:r/>
          </w:p>
        </w:tc>
        <w:tc>
          <w:tcPr>
            <w:gridSpan w:val="2"/>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投标报价:人民币       单位(元)</w:t>
            </w:r>
            <w:r/>
          </w:p>
        </w:tc>
      </w:tr>
      <w:tr>
        <w:trPr>
          <w:jc w:val="center"/>
          <w:trHeight w:val="598"/>
        </w:trPr>
        <w:tc>
          <w:tcPr>
            <w:tcBorders>
              <w:top w:val="single" w:color="auto" w:sz="4" w:space="0"/>
              <w:left w:val="single" w:color="auto" w:sz="4" w:space="0"/>
              <w:bottom w:val="single" w:color="auto" w:sz="4" w:space="0"/>
              <w:right w:val="single" w:color="auto" w:sz="4" w:space="0"/>
            </w:tcBorders>
            <w:tcW w:w="969" w:type="dxa"/>
            <w:vAlign w:val="center"/>
            <w:vMerge w:val="continue"/>
            <w:textDirection w:val="lrTb"/>
            <w:noWrap w:val="false"/>
          </w:tcPr>
          <w:p>
            <w:pPr>
              <w:jc w:val="lef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291" w:type="dxa"/>
            <w:vAlign w:val="center"/>
            <w:vMerge w:val="continue"/>
            <w:textDirection w:val="lrTb"/>
            <w:noWrap w:val="false"/>
          </w:tcPr>
          <w:p>
            <w:pPr>
              <w:jc w:val="lef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2953" w:type="dxa"/>
            <w:vAlign w:val="center"/>
            <w:textDirection w:val="lrTb"/>
            <w:noWrap w:val="false"/>
          </w:tcPr>
          <w:p>
            <w:pPr>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大写</w:t>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3291"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953"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76"/>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3291" w:type="dxa"/>
            <w:vAlign w:val="center"/>
            <w:textDirection w:val="lrTb"/>
            <w:noWrap w:val="false"/>
          </w:tcPr>
          <w:p>
            <w:pPr>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合同履行期限</w:t>
            </w:r>
            <w:r/>
          </w:p>
        </w:tc>
        <w:tc>
          <w:tcPr>
            <w:gridSpan w:val="2"/>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szCs w:val="20"/>
          <w:highlight w:val="none"/>
        </w:rPr>
        <w:t xml:space="preserve">此表中，报价应和《报价明细表》中的总价相一致。</w:t>
      </w:r>
      <w:r/>
    </w:p>
    <w:p>
      <w:pPr>
        <w:jc w:val="right"/>
        <w:spacing w:line="360" w:lineRule="auto"/>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p>
    <w:p>
      <w:pPr>
        <w:spacing w:before="25" w:after="25" w:line="480" w:lineRule="auto"/>
        <w:rPr>
          <w:rFonts w:hint="eastAsia" w:ascii="宋体" w:hAnsi="宋体" w:eastAsia="宋体" w:cs="宋体"/>
          <w:color w:val="auto"/>
          <w:sz w:val="24"/>
          <w:szCs w:val="20"/>
          <w:highlight w:val="none"/>
        </w:rPr>
      </w:pPr>
      <w:r/>
      <w:bookmarkStart w:id="314" w:name="_Toc142311060"/>
      <w:r/>
      <w:bookmarkStart w:id="315" w:name="_Toc226309803"/>
      <w:r/>
      <w:bookmarkStart w:id="316" w:name="_Toc226965749"/>
      <w:r/>
      <w:bookmarkStart w:id="317" w:name="_Toc150774763"/>
      <w:r/>
      <w:bookmarkStart w:id="318" w:name="_Toc226965832"/>
      <w:r/>
      <w:bookmarkStart w:id="319" w:name="_Toc305158901"/>
      <w:r/>
      <w:bookmarkStart w:id="320" w:name="_Toc265228397"/>
      <w:r/>
      <w:bookmarkStart w:id="321" w:name="_Toc264969249"/>
      <w:r/>
      <w:bookmarkStart w:id="322" w:name="_Toc127151558"/>
      <w:r/>
      <w:bookmarkStart w:id="323" w:name="_Toc195842924"/>
      <w:r/>
      <w:bookmarkStart w:id="324" w:name="_Toc305158827"/>
      <w:r/>
      <w:bookmarkStart w:id="325" w:name="_Toc226337255"/>
      <w:r/>
      <w:bookmarkStart w:id="326" w:name="_Toc150480796"/>
      <w:r>
        <w:rPr>
          <w:rFonts w:hint="eastAsia" w:ascii="宋体" w:hAnsi="宋体" w:eastAsia="宋体" w:cs="宋体"/>
          <w:color w:val="auto"/>
          <w:sz w:val="24"/>
          <w:highlight w:val="none"/>
        </w:rPr>
        <w:t xml:space="preserve">投标人名称(加盖CA电子公章)</w:t>
      </w:r>
      <w:r>
        <w:rPr>
          <w:rFonts w:hint="eastAsia" w:ascii="宋体" w:hAnsi="宋体" w:eastAsia="宋体" w:cs="宋体"/>
          <w:color w:val="auto"/>
          <w:sz w:val="24"/>
          <w:highlight w:val="none"/>
          <w:lang w:val="zh-CN"/>
        </w:rPr>
        <w:t xml:space="preserve">:____________</w:t>
      </w:r>
      <w:r/>
    </w:p>
    <w:p>
      <w:pPr>
        <w:spacing w:before="25" w:after="25" w:line="48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r/>
    </w:p>
    <w:p>
      <w:pPr>
        <w:jc w:val="lef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spacing w:line="360" w:lineRule="exact"/>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七、报价明细表</w:t>
      </w:r>
      <w:r/>
    </w:p>
    <w:p>
      <w:pPr>
        <w:jc w:val="left"/>
        <w:spacing w:line="360" w:lineRule="auto"/>
        <w:tabs>
          <w:tab w:val="left" w:pos="1800" w:leader="none"/>
          <w:tab w:val="left" w:pos="5580"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p>
    <w:p>
      <w:pPr>
        <w:jc w:val="left"/>
        <w:spacing w:line="360" w:lineRule="auto"/>
        <w:tabs>
          <w:tab w:val="left" w:pos="1800" w:leader="none"/>
          <w:tab w:val="left" w:pos="5580"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项目编号:_____________________     项目名称:_______________________</w:t>
      </w:r>
      <w:r/>
    </w:p>
    <w:tbl>
      <w:tblPr>
        <w:tblStyle w:val="980"/>
        <w:tblW w:w="94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3504"/>
        <w:gridCol w:w="1596"/>
        <w:gridCol w:w="1131"/>
        <w:gridCol w:w="1607"/>
        <w:gridCol w:w="860"/>
      </w:tblGrid>
      <w:tr>
        <w:trPr>
          <w:jc w:val="center"/>
          <w:trHeight w:val="39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pStyle w:val="1191"/>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val="false"/>
          </w:tcPr>
          <w:p>
            <w:pPr>
              <w:pStyle w:val="1191"/>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pStyle w:val="1191"/>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单价（元）</w:t>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pStyle w:val="1191"/>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pStyle w:val="1191"/>
              <w:ind w:left="0" w:firstLine="192"/>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金额（元）</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pStyle w:val="1191"/>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39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网络教学系统</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课堂互动系统</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大数据分析系统</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AI教学服务</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能力图谱</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智能体</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校本数字教材平台</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虚拟教研室平台</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校级竞赛管理系统</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教师教学能力提升课程资源</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一体化教学门户</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43"/>
        </w:trPr>
        <w:tc>
          <w:tcPr>
            <w:gridSpan w:val="6"/>
            <w:tcBorders>
              <w:top w:val="single" w:color="auto" w:sz="4" w:space="0"/>
              <w:left w:val="single" w:color="auto" w:sz="4" w:space="0"/>
              <w:bottom w:val="single" w:color="auto" w:sz="4" w:space="0"/>
              <w:right w:val="single" w:color="auto" w:sz="4" w:space="0"/>
            </w:tcBorders>
            <w:tcW w:w="9470" w:type="dxa"/>
            <w:vAlign w:val="center"/>
            <w:textDirection w:val="lrTb"/>
            <w:noWrap w:val="false"/>
          </w:tcPr>
          <w:p>
            <w:pPr>
              <w:pStyle w:val="1250"/>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合计金额大写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tc>
      </w:tr>
    </w:tbl>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pStyle w:val="1017"/>
        <w:ind w:firstLine="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注: 1.本清单报价表的“报价明细表”应与“开标一览表”投标总价一致。</w:t>
      </w:r>
      <w:r/>
    </w:p>
    <w:p>
      <w:pPr>
        <w:ind w:firstLine="422"/>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 w:val="21"/>
          <w:szCs w:val="21"/>
          <w:highlight w:val="none"/>
          <w:lang w:val="en-US" w:eastAsia="zh-CN"/>
        </w:rPr>
        <w:t xml:space="preserve">2.投标人需根据市场行情及自身情况报出详尽的项目总价。</w:t>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
    </w:p>
    <w:p>
      <w:pPr>
        <w:jc w:val="left"/>
        <w:spacing w:line="360" w:lineRule="auto"/>
        <w:tabs>
          <w:tab w:val="left" w:pos="1800" w:leader="none"/>
          <w:tab w:val="left" w:pos="5580" w:leader="none"/>
        </w:tabs>
        <w:rPr>
          <w:rFonts w:hint="eastAsia" w:ascii="宋体" w:hAnsi="宋体" w:eastAsia="宋体" w:cs="宋体"/>
          <w:color w:val="auto"/>
          <w:sz w:val="24"/>
          <w:szCs w:val="20"/>
          <w:highlight w:val="none"/>
        </w:rPr>
      </w:pPr>
      <w:r/>
      <w:bookmarkStart w:id="327" w:name="_Toc226965751"/>
      <w:r/>
      <w:bookmarkStart w:id="328" w:name="_Toc142311061"/>
      <w:r/>
      <w:bookmarkStart w:id="329" w:name="_Toc127151561"/>
      <w:r/>
      <w:bookmarkStart w:id="330" w:name="_Toc305158903"/>
      <w:r/>
      <w:bookmarkStart w:id="331" w:name="_Toc195842926"/>
      <w:r/>
      <w:bookmarkStart w:id="332" w:name="_Toc305158829"/>
      <w:r/>
      <w:bookmarkStart w:id="333" w:name="_Toc150774764"/>
      <w:r/>
      <w:bookmarkStart w:id="334" w:name="_Toc226309805"/>
      <w:r/>
      <w:bookmarkStart w:id="335" w:name="_Toc265228399"/>
      <w:r/>
      <w:bookmarkStart w:id="336" w:name="_Toc226337257"/>
      <w:r/>
      <w:bookmarkStart w:id="337" w:name="_Toc264969251"/>
      <w:r/>
      <w:bookmarkStart w:id="338" w:name="_Toc226965834"/>
      <w:r/>
      <w:bookmarkStart w:id="339" w:name="_Toc150480797"/>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八-1、技术偏离表(实质性格式)</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left"/>
        <w:spacing w:line="360" w:lineRule="auto"/>
        <w:tabs>
          <w:tab w:val="left" w:pos="1800" w:leader="none"/>
          <w:tab w:val="left" w:pos="558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项目编号:_____________________     项目名称:_______________________</w:t>
      </w:r>
      <w:r/>
    </w:p>
    <w:tbl>
      <w:tblPr>
        <w:tblStyle w:val="98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716"/>
        <w:gridCol w:w="2382"/>
        <w:gridCol w:w="1535"/>
        <w:gridCol w:w="1396"/>
        <w:gridCol w:w="2086"/>
        <w:gridCol w:w="1684"/>
      </w:tblGrid>
      <w:tr>
        <w:trPr>
          <w:jc w:val="center"/>
          <w:trHeight w:val="1090"/>
        </w:trPr>
        <w:tc>
          <w:tcPr>
            <w:tcW w:w="365"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W w:w="1215" w:type="pct"/>
            <w:vAlign w:val="center"/>
            <w:textDirection w:val="lrTb"/>
            <w:noWrap w:val="false"/>
          </w:tcPr>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名称及内容</w:t>
            </w:r>
            <w:r/>
          </w:p>
        </w:tc>
        <w:tc>
          <w:tcPr>
            <w:tcW w:w="783"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招标文件技术参数</w:t>
            </w:r>
            <w:r/>
          </w:p>
        </w:tc>
        <w:tc>
          <w:tcPr>
            <w:tcW w:w="712"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投标文件技术参数</w:t>
            </w:r>
            <w:r/>
          </w:p>
        </w:tc>
        <w:tc>
          <w:tcPr>
            <w:tcW w:w="1064"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证明材料</w:t>
            </w:r>
            <w:r/>
          </w:p>
        </w:tc>
        <w:tc>
          <w:tcPr>
            <w:tcW w:w="859"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偏离情况</w:t>
            </w:r>
            <w:r/>
          </w:p>
        </w:tc>
      </w:tr>
      <w:tr>
        <w:trPr>
          <w:jc w:val="center"/>
          <w:trHeight w:val="90"/>
        </w:trPr>
        <w:tc>
          <w:tcPr>
            <w:tcW w:w="365" w:type="pct"/>
            <w:vAlign w:val="center"/>
            <w:textDirection w:val="lrTb"/>
            <w:noWrap w:val="false"/>
          </w:tcPr>
          <w:p>
            <w:pPr>
              <w:ind w:firstLine="24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W w:w="1215"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83"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12"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64"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859"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W w:w="365" w:type="pct"/>
            <w:vAlign w:val="center"/>
            <w:textDirection w:val="lrTb"/>
            <w:noWrap w:val="false"/>
          </w:tcPr>
          <w:p>
            <w:pPr>
              <w:ind w:firstLine="24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W w:w="1215"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83"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12" w:type="pct"/>
            <w:vAlign w:val="center"/>
            <w:textDirection w:val="lrTb"/>
            <w:noWrap w:val="false"/>
          </w:tcPr>
          <w:p>
            <w:pPr>
              <w:ind w:firstLine="72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64"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859"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W w:w="365" w:type="pct"/>
            <w:vAlign w:val="center"/>
            <w:textDirection w:val="lrTb"/>
            <w:noWrap w:val="false"/>
          </w:tcPr>
          <w:p>
            <w:pPr>
              <w:ind w:firstLine="24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W w:w="1215"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83"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12" w:type="pct"/>
            <w:vAlign w:val="center"/>
            <w:textDirection w:val="lrTb"/>
            <w:noWrap w:val="false"/>
          </w:tcPr>
          <w:p>
            <w:pPr>
              <w:ind w:firstLine="72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64"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859"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65"/>
        </w:trPr>
        <w:tc>
          <w:tcPr>
            <w:tcW w:w="365" w:type="pct"/>
            <w:vAlign w:val="center"/>
            <w:textDirection w:val="lrTb"/>
            <w:noWrap w:val="false"/>
          </w:tcPr>
          <w:p>
            <w:pPr>
              <w:ind w:firstLine="24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p>
        </w:tc>
        <w:tc>
          <w:tcPr>
            <w:tcW w:w="1215"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83"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12"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64"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859"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ind w:firstLine="360"/>
        <w:jc w:val="left"/>
        <w:spacing w:line="360" w:lineRule="auto"/>
        <w:tabs>
          <w:tab w:val="left" w:pos="1800" w:leader="none"/>
          <w:tab w:val="left" w:pos="558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auto"/>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注意事项:</w:t>
      </w:r>
      <w:r/>
    </w:p>
    <w:p>
      <w:pPr>
        <w:numPr>
          <w:ilvl w:val="0"/>
          <w:numId w:val="8"/>
        </w:num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请按上表格式，依照招标文件项目要求相应内容逐项响应。</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2、如根据招标文件要求需提供“证明材料”的，需填写证明材料名称；招标文件未要求提供“证明材料”的，可不填写。</w:t>
      </w:r>
      <w:r/>
    </w:p>
    <w:p>
      <w:pPr>
        <w:ind w:firstLine="482"/>
        <w:spacing w:line="360" w:lineRule="auto"/>
        <w:rPr>
          <w:rFonts w:hint="eastAsia" w:ascii="宋体" w:hAnsi="宋体" w:eastAsia="宋体" w:cs="宋体"/>
          <w:color w:val="auto"/>
          <w:sz w:val="24"/>
          <w:szCs w:val="20"/>
          <w:highlight w:val="none"/>
        </w:rPr>
      </w:pPr>
      <w:r>
        <w:rPr>
          <w:rFonts w:hint="eastAsia" w:ascii="宋体" w:hAnsi="宋体" w:eastAsia="宋体" w:cs="宋体"/>
          <w:b/>
          <w:bCs/>
          <w:color w:val="auto"/>
          <w:sz w:val="24"/>
          <w:highlight w:val="none"/>
        </w:rPr>
        <w:t xml:space="preserve">3、如投标人提供的货物或服务与招标文件的要求存在偏离，偏离情况可填写“正偏离”或“负偏离”；如完全满足招标文件要求，偏离情况填写“完全满足”即可。</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p>
    <w:p>
      <w:pPr>
        <w:spacing w:before="25" w:after="25"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jc w:val="center"/>
        <w:keepLines/>
        <w:keepNext/>
        <w:spacing w:after="240" w:line="360" w:lineRule="auto"/>
        <w:widowControl/>
        <w:rPr>
          <w:rFonts w:hint="eastAsia" w:ascii="宋体" w:hAnsi="宋体" w:eastAsia="宋体" w:cs="宋体"/>
          <w:b/>
          <w:color w:val="auto"/>
          <w:spacing w:val="20"/>
          <w:sz w:val="36"/>
          <w:szCs w:val="36"/>
          <w:highlight w:val="none"/>
        </w:rPr>
        <w:outlineLvl w:val="0"/>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6"/>
          <w:szCs w:val="36"/>
          <w:highlight w:val="none"/>
        </w:rPr>
        <w:t xml:space="preserve">八-2、商务偏离表(实质性格式)</w:t>
      </w:r>
      <w:r/>
    </w:p>
    <w:p>
      <w:pPr>
        <w:spacing w:line="360" w:lineRule="auto"/>
        <w:tabs>
          <w:tab w:val="left" w:pos="1800" w:leader="none"/>
          <w:tab w:val="left" w:pos="5580" w:leader="none"/>
        </w:tabs>
        <w:rPr>
          <w:rFonts w:hint="eastAsia" w:ascii="宋体" w:hAnsi="宋体" w:eastAsia="宋体" w:cs="宋体"/>
          <w:color w:val="auto"/>
          <w:sz w:val="20"/>
          <w:szCs w:val="21"/>
          <w:highlight w:val="none"/>
          <w:lang w:bidi="ar"/>
        </w:rPr>
      </w:pPr>
      <w:r>
        <w:rPr>
          <w:rFonts w:hint="eastAsia" w:ascii="宋体" w:hAnsi="宋体" w:eastAsia="宋体" w:cs="宋体"/>
          <w:color w:val="auto"/>
          <w:sz w:val="20"/>
          <w:szCs w:val="21"/>
          <w:highlight w:val="none"/>
          <w:lang w:bidi="ar"/>
        </w:rPr>
        <w:t xml:space="preserve">   </w:t>
      </w:r>
      <w:r>
        <w:rPr>
          <w:rFonts w:hint="eastAsia" w:ascii="宋体" w:hAnsi="宋体" w:eastAsia="宋体" w:cs="宋体"/>
          <w:color w:val="auto"/>
          <w:sz w:val="24"/>
          <w:highlight w:val="none"/>
        </w:rPr>
        <w:t xml:space="preserve">项目编号:_____________________     项目名称:_______________________</w:t>
      </w:r>
      <w:r/>
    </w:p>
    <w:tbl>
      <w:tblPr>
        <w:tblStyle w:val="98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865"/>
        <w:gridCol w:w="2876"/>
        <w:gridCol w:w="1853"/>
        <w:gridCol w:w="2184"/>
        <w:gridCol w:w="2021"/>
      </w:tblGrid>
      <w:tr>
        <w:trPr>
          <w:jc w:val="center"/>
          <w:trHeight w:val="567"/>
        </w:trPr>
        <w:tc>
          <w:tcPr>
            <w:tcW w:w="441"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W w:w="1467" w:type="pct"/>
            <w:vAlign w:val="center"/>
            <w:textDirection w:val="lrTb"/>
            <w:noWrap w:val="false"/>
          </w:tcPr>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名称及内容</w:t>
            </w:r>
            <w:r/>
          </w:p>
        </w:tc>
        <w:tc>
          <w:tcPr>
            <w:tcW w:w="945"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招标文件要求</w:t>
            </w:r>
            <w:r/>
          </w:p>
        </w:tc>
        <w:tc>
          <w:tcPr>
            <w:tcW w:w="1114"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投标人响应内容</w:t>
            </w:r>
            <w:r/>
          </w:p>
        </w:tc>
        <w:tc>
          <w:tcPr>
            <w:tcW w:w="1031" w:type="pct"/>
            <w:vAlign w:val="center"/>
            <w:textDirection w:val="lrTb"/>
            <w:noWrap w:val="false"/>
          </w:tcPr>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偏离情况</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90"/>
        </w:trPr>
        <w:tc>
          <w:tcPr>
            <w:tcW w:w="441"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W w:w="1467" w:type="pct"/>
            <w:textDirection w:val="lrTb"/>
            <w:noWrap w:val="false"/>
          </w:tcPr>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945" w:type="pct"/>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114" w:type="pct"/>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31"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W w:w="441"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W w:w="1467"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945" w:type="pct"/>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114" w:type="pct"/>
            <w:textDirection w:val="lrTb"/>
            <w:noWrap w:val="false"/>
          </w:tcPr>
          <w:p>
            <w:pPr>
              <w:ind w:firstLine="72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31"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W w:w="441"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W w:w="1467"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945" w:type="pct"/>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114" w:type="pct"/>
            <w:textDirection w:val="lrTb"/>
            <w:noWrap w:val="false"/>
          </w:tcPr>
          <w:p>
            <w:pPr>
              <w:ind w:firstLine="72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31"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65"/>
        </w:trPr>
        <w:tc>
          <w:tcPr>
            <w:tcW w:w="441"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p>
        </w:tc>
        <w:tc>
          <w:tcPr>
            <w:tcW w:w="1467"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945" w:type="pct"/>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114" w:type="pct"/>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31"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ind w:firstLine="4440"/>
        <w:spacing w:line="360" w:lineRule="auto"/>
        <w:rPr>
          <w:rFonts w:hint="eastAsia" w:ascii="宋体" w:hAnsi="宋体" w:eastAsia="宋体" w:cs="宋体"/>
          <w:bCs/>
          <w:color w:val="auto"/>
          <w:sz w:val="24"/>
          <w:highlight w:val="none"/>
          <w:lang w:bidi="ar"/>
        </w:rPr>
      </w:pPr>
      <w:r>
        <w:rPr>
          <w:rFonts w:hint="eastAsia" w:ascii="宋体" w:hAnsi="宋体" w:eastAsia="宋体" w:cs="宋体"/>
          <w:bCs/>
          <w:color w:val="auto"/>
          <w:sz w:val="24"/>
          <w:highlight w:val="none"/>
          <w:lang w:bidi="ar"/>
        </w:rPr>
      </w:r>
      <w:r/>
    </w:p>
    <w:p>
      <w:pPr>
        <w:spacing w:line="360" w:lineRule="auto"/>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lang w:eastAsia="en-US"/>
        </w:rPr>
        <w:t xml:space="preserve">注意事项</w:t>
      </w:r>
      <w:r>
        <w:rPr>
          <w:rFonts w:hint="eastAsia" w:ascii="宋体" w:hAnsi="宋体" w:eastAsia="宋体" w:cs="宋体"/>
          <w:b/>
          <w:color w:val="auto"/>
          <w:sz w:val="24"/>
          <w:szCs w:val="20"/>
          <w:highlight w:val="none"/>
        </w:rPr>
        <w:t xml:space="preserve">:</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1、请按上表格式，依照招标文件项目要求相应内容逐项响应。</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2、如投标人提供的货物或服务与招标文件的要求存在偏离，偏离情况可填写“正偏离”或“负偏离”；如完全满足招标文件要求，偏离情况填写“完全满足”即可。</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eastAsia="宋体" w:cs="宋体"/>
          <w:color w:val="auto"/>
          <w:sz w:val="24"/>
          <w:highlight w:val="none"/>
          <w:lang w:val="zh-CN"/>
        </w:rPr>
        <w:t xml:space="preserve">:____________</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日期:_____年______月______日</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color w:val="auto"/>
          <w:sz w:val="24"/>
          <w:szCs w:val="20"/>
          <w:highlight w:val="none"/>
        </w:rPr>
        <w:br w:type="page" w:clear="all"/>
      </w:r>
      <w:r>
        <w:rPr>
          <w:rFonts w:hint="eastAsia" w:ascii="宋体" w:hAnsi="宋体" w:eastAsia="宋体" w:cs="宋体"/>
          <w:b/>
          <w:color w:val="auto"/>
          <w:sz w:val="32"/>
          <w:szCs w:val="32"/>
          <w:highlight w:val="none"/>
        </w:rPr>
        <w:t xml:space="preserve">九</w:t>
      </w:r>
      <w:r>
        <w:rPr>
          <w:rFonts w:hint="eastAsia" w:ascii="宋体" w:hAnsi="宋体" w:eastAsia="宋体" w:cs="宋体"/>
          <w:b/>
          <w:color w:val="auto"/>
          <w:sz w:val="36"/>
          <w:szCs w:val="36"/>
          <w:highlight w:val="none"/>
        </w:rPr>
        <w:t xml:space="preserve">、其他格式材料</w:t>
      </w:r>
      <w:r/>
    </w:p>
    <w:p>
      <w:pPr>
        <w:jc w:val="center"/>
        <w:spacing w:line="360" w:lineRule="auto"/>
        <w:rPr>
          <w:rFonts w:hint="eastAsia" w:ascii="宋体" w:hAnsi="宋体" w:eastAsia="宋体" w:cs="宋体"/>
          <w:color w:val="auto"/>
          <w:sz w:val="22"/>
          <w:highlight w:val="none"/>
        </w:rPr>
      </w:pPr>
      <w:r>
        <w:rPr>
          <w:rFonts w:hint="eastAsia" w:ascii="宋体" w:hAnsi="宋体" w:eastAsia="宋体" w:cs="宋体"/>
          <w:b/>
          <w:color w:val="auto"/>
          <w:sz w:val="32"/>
          <w:szCs w:val="32"/>
          <w:highlight w:val="none"/>
        </w:rPr>
        <w:t xml:space="preserve">1、参加本项目人员一览表</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                     </w:t>
      </w:r>
      <w:r/>
    </w:p>
    <w:tbl>
      <w:tblPr>
        <w:tblStyle w:val="98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011"/>
        <w:gridCol w:w="831"/>
        <w:gridCol w:w="912"/>
        <w:gridCol w:w="1338"/>
        <w:gridCol w:w="819"/>
        <w:gridCol w:w="1050"/>
        <w:gridCol w:w="1227"/>
        <w:gridCol w:w="997"/>
        <w:gridCol w:w="1411"/>
      </w:tblGrid>
      <w:tr>
        <w:trPr>
          <w:jc w:val="center"/>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责任</w:t>
            </w:r>
            <w:r/>
          </w:p>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项目经历或主要工作业绩</w:t>
            </w:r>
            <w:r/>
          </w:p>
        </w:tc>
      </w:tr>
      <w:tr>
        <w:trPr>
          <w:jc w:val="center"/>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83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33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9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83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33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9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3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3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3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83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33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9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bl>
    <w:p>
      <w:pPr>
        <w:tabs>
          <w:tab w:val="left" w:pos="9765"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注:参加本项目人员须是投标人正式职工，提供投标人为其缴纳的</w:t>
      </w:r>
      <w:r>
        <w:rPr>
          <w:rFonts w:hint="eastAsia" w:ascii="宋体" w:hAnsi="宋体" w:eastAsia="宋体" w:cs="宋体"/>
          <w:b/>
          <w:bCs/>
          <w:color w:val="auto"/>
          <w:sz w:val="24"/>
          <w:highlight w:val="none"/>
          <w:lang w:val="zh-CN"/>
        </w:rPr>
        <w:t xml:space="preserve">近三个月（2025年8月-2025年10月）中任意一个月</w:t>
      </w:r>
      <w:r>
        <w:rPr>
          <w:rFonts w:hint="eastAsia" w:ascii="宋体" w:hAnsi="宋体" w:eastAsia="宋体" w:cs="宋体"/>
          <w:b/>
          <w:bCs/>
          <w:color w:val="auto"/>
          <w:sz w:val="24"/>
          <w:highlight w:val="none"/>
          <w:lang w:val="zh-CN"/>
        </w:rPr>
        <w:t xml:space="preserve">的社保证明。</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r/>
    </w:p>
    <w:p>
      <w:pPr>
        <w:rPr>
          <w:rFonts w:hint="eastAsia" w:ascii="宋体" w:hAnsi="宋体" w:eastAsia="宋体" w:cs="宋体"/>
          <w:color w:val="auto"/>
          <w:sz w:val="24"/>
          <w:szCs w:val="20"/>
          <w:highlight w:val="none"/>
        </w:rPr>
      </w:pPr>
      <w:r/>
      <w:bookmarkStart w:id="340" w:name="_Toc288738839"/>
      <w:r/>
      <w:bookmarkStart w:id="341" w:name="_Toc288738397"/>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2、相关业绩案例一览表</w:t>
      </w:r>
      <w:bookmarkEnd w:id="340"/>
      <w:r/>
      <w:bookmarkEnd w:id="341"/>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                   </w:t>
      </w:r>
      <w:r/>
    </w:p>
    <w:tbl>
      <w:tblPr>
        <w:tblStyle w:val="980"/>
        <w:tblW w:w="0" w:type="auto"/>
        <w:jc w:val="center"/>
        <w:tblLayout w:type="fixed"/>
        <w:tblCellMar>
          <w:left w:w="108" w:type="dxa"/>
          <w:top w:w="0" w:type="dxa"/>
          <w:right w:w="108" w:type="dxa"/>
          <w:bottom w:w="0" w:type="dxa"/>
        </w:tblCellMar>
        <w:tblLook w:val="04A0" w:firstRow="1" w:lastRow="0" w:firstColumn="1" w:lastColumn="0" w:noHBand="0" w:noVBand="1"/>
      </w:tblPr>
      <w:tblGrid>
        <w:gridCol w:w="1420"/>
        <w:gridCol w:w="1858"/>
        <w:gridCol w:w="1682"/>
        <w:gridCol w:w="1325"/>
        <w:gridCol w:w="1912"/>
        <w:gridCol w:w="1766"/>
      </w:tblGrid>
      <w:tr>
        <w:trPr>
          <w:jc w:val="center"/>
          <w:trHeight w:val="498"/>
        </w:trPr>
        <w:tc>
          <w:tcPr>
            <w:tcBorders>
              <w:top w:val="single" w:color="auto" w:sz="6" w:space="0"/>
              <w:left w:val="single" w:color="auto" w:sz="6" w:space="0"/>
              <w:bottom w:val="single" w:color="auto" w:sz="6" w:space="0"/>
              <w:right w:val="single" w:color="auto" w:sz="6" w:space="0"/>
            </w:tcBorders>
            <w:tcW w:w="142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85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682"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325"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912"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42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 1.本表后附合同扫描件，并加盖投标人公章，否则不予认可。</w:t>
      </w:r>
      <w:r/>
    </w:p>
    <w:p>
      <w:pPr>
        <w:ind w:firstLine="422"/>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2.本表可按同样格式扩展。</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jc w:val="center"/>
        <w:spacing w:line="360" w:lineRule="auto"/>
        <w:widowControl/>
        <w:rPr>
          <w:rFonts w:hint="eastAsia" w:ascii="宋体" w:hAnsi="宋体" w:eastAsia="宋体" w:cs="宋体"/>
          <w:b/>
          <w:color w:val="auto"/>
          <w:sz w:val="32"/>
          <w:szCs w:val="32"/>
          <w:highlight w:val="none"/>
        </w:rPr>
      </w:pPr>
      <w:r>
        <w:rPr>
          <w:rFonts w:hint="eastAsia" w:ascii="宋体" w:hAnsi="宋体" w:eastAsia="宋体" w:cs="宋体"/>
          <w:color w:val="auto"/>
          <w:sz w:val="24"/>
          <w:szCs w:val="20"/>
          <w:highlight w:val="none"/>
        </w:rPr>
        <w:br w:type="page" w:clear="all"/>
      </w:r>
      <w:r>
        <w:rPr>
          <w:rFonts w:hint="eastAsia" w:ascii="宋体" w:hAnsi="宋体" w:eastAsia="宋体" w:cs="宋体"/>
          <w:b/>
          <w:color w:val="auto"/>
          <w:sz w:val="32"/>
          <w:szCs w:val="32"/>
          <w:highlight w:val="none"/>
        </w:rPr>
        <w:t xml:space="preserve">3、关于招标文件的询问内容</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项目名称:</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采购编号:</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内容:</w:t>
      </w:r>
      <w:r/>
    </w:p>
    <w:p>
      <w:pPr>
        <w:jc w:val="left"/>
        <w:spacing w:line="360" w:lineRule="auto"/>
        <w:widowControl/>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r>
      <w:r/>
    </w:p>
    <w:p>
      <w:pPr>
        <w:jc w:val="left"/>
        <w:spacing w:line="360" w:lineRule="auto"/>
        <w:widowControl/>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r>
      <w:r/>
    </w:p>
    <w:p>
      <w:pPr>
        <w:jc w:val="left"/>
        <w:spacing w:line="360" w:lineRule="auto"/>
        <w:widowControl/>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被授权人姓名:</w:t>
      </w:r>
      <w:r>
        <w:rPr>
          <w:rFonts w:hint="eastAsia" w:ascii="宋体" w:hAnsi="宋体" w:eastAsia="宋体" w:cs="宋体"/>
          <w:color w:val="auto"/>
          <w:sz w:val="24"/>
          <w:highlight w:val="none"/>
          <w:u w:val="single"/>
        </w:rPr>
        <w:t xml:space="preserve">                   </w:t>
      </w:r>
      <w:r/>
    </w:p>
    <w:p>
      <w:pPr>
        <w:spacing w:line="360" w:lineRule="auto"/>
        <w:tabs>
          <w:tab w:val="left" w:pos="36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被授权人身份证号码:</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被授权人联系电话:(手机)</w:t>
      </w:r>
      <w:r>
        <w:rPr>
          <w:rFonts w:hint="eastAsia" w:ascii="宋体" w:hAnsi="宋体" w:eastAsia="宋体" w:cs="宋体"/>
          <w:color w:val="auto"/>
          <w:sz w:val="24"/>
          <w:highlight w:val="none"/>
          <w:u w:val="single"/>
        </w:rPr>
        <w:t xml:space="preserve">                          </w:t>
      </w:r>
      <w:r/>
    </w:p>
    <w:p>
      <w:pPr>
        <w:jc w:val="left"/>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日期:_____年______月______日    </w:t>
      </w:r>
      <w:r/>
    </w:p>
    <w:p>
      <w:pPr>
        <w:pStyle w:val="972"/>
        <w:jc w:val="center"/>
        <w:spacing w:before="0" w:after="0"/>
        <w:rPr>
          <w:rFonts w:hint="eastAsia" w:ascii="宋体" w:hAnsi="宋体" w:eastAsia="宋体" w:cs="宋体"/>
          <w:color w:val="auto"/>
          <w:highlight w:val="none"/>
        </w:rPr>
      </w:pPr>
      <w:r>
        <w:rPr>
          <w:rFonts w:hint="eastAsia" w:ascii="宋体" w:hAnsi="宋体" w:eastAsia="宋体" w:cs="宋体"/>
          <w:color w:val="auto"/>
          <w:sz w:val="36"/>
          <w:szCs w:val="36"/>
          <w:highlight w:val="none"/>
          <w:u w:val="none"/>
        </w:rPr>
        <w:br w:type="page" w:clear="all"/>
      </w:r>
      <w:r>
        <w:rPr>
          <w:rFonts w:hint="eastAsia" w:ascii="宋体" w:hAnsi="宋体" w:eastAsia="宋体" w:cs="宋体"/>
          <w:color w:val="auto"/>
          <w:sz w:val="36"/>
          <w:szCs w:val="36"/>
          <w:highlight w:val="none"/>
          <w:u w:val="none"/>
        </w:rPr>
        <w:t xml:space="preserve">十、项目实施方案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招标文件中提出的需求是最基本的服务要求，各投标人须响应这些要求，并可以在此基础上，根据自身优势进一步优化。本方案可包括(但不限于)以下内容:</w:t>
      </w:r>
      <w:r/>
    </w:p>
    <w:p>
      <w:pPr>
        <w:numPr>
          <w:ilvl w:val="1"/>
          <w:numId w:val="0"/>
        </w:numPr>
        <w:ind w:left="1140" w:hanging="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(1)详细实施方案</w:t>
      </w:r>
      <w:r/>
    </w:p>
    <w:p>
      <w:pPr>
        <w:numPr>
          <w:ilvl w:val="1"/>
          <w:numId w:val="0"/>
        </w:numPr>
        <w:ind w:left="1140" w:hanging="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(2)投标人应就人员配备、技术保证、项目质量、服务期限等做出承诺</w:t>
      </w:r>
      <w:r/>
    </w:p>
    <w:p>
      <w:pPr>
        <w:numPr>
          <w:ilvl w:val="1"/>
          <w:numId w:val="0"/>
        </w:numPr>
        <w:ind w:left="1140" w:hanging="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(3)对原始资料的调查与收集</w:t>
      </w:r>
      <w:r/>
    </w:p>
    <w:p>
      <w:pPr>
        <w:numPr>
          <w:ilvl w:val="1"/>
          <w:numId w:val="0"/>
        </w:numPr>
        <w:ind w:left="1140" w:hanging="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(4)合理化建议(并提出相应可行的解决办法)</w:t>
      </w:r>
      <w:r/>
    </w:p>
    <w:p>
      <w:pPr>
        <w:numPr>
          <w:ilvl w:val="1"/>
          <w:numId w:val="0"/>
        </w:numPr>
        <w:ind w:left="1140" w:hanging="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(5)需要采购人协助的事项</w:t>
      </w:r>
      <w:r/>
    </w:p>
    <w:p>
      <w:pPr>
        <w:numPr>
          <w:ilvl w:val="1"/>
          <w:numId w:val="0"/>
        </w:numPr>
        <w:ind w:left="1140" w:hanging="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(6)投标人认为需要添加的内容</w:t>
      </w:r>
      <w:r/>
    </w:p>
    <w:p>
      <w:pPr>
        <w:pStyle w:val="972"/>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eastAsia="宋体" w:cs="宋体"/>
          <w:color w:val="auto"/>
          <w:sz w:val="24"/>
          <w:highlight w:val="none"/>
          <w:lang w:val="zh-CN"/>
        </w:rPr>
        <w:t xml:space="preserve">:____________</w:t>
      </w:r>
      <w:r/>
    </w:p>
    <w:p>
      <w:pPr>
        <w:pStyle w:val="982"/>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日期:_____年______月______日</w:t>
      </w:r>
      <w:r/>
    </w:p>
    <w:p>
      <w:pPr>
        <w:pStyle w:val="982"/>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2"/>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2"/>
        <w:ind w:firstLine="0"/>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十一、基本服务承诺书</w:t>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360" w:lineRule="auto"/>
        <w:rPr>
          <w:rFonts w:hint="eastAsia" w:ascii="宋体" w:hAnsi="宋体" w:eastAsia="宋体" w:cs="宋体"/>
          <w:color w:val="auto"/>
          <w:sz w:val="20"/>
          <w:szCs w:val="20"/>
          <w:highlight w:val="none"/>
        </w:rPr>
      </w:pPr>
      <w:r>
        <w:rPr>
          <w:rFonts w:hint="eastAsia" w:ascii="宋体" w:hAnsi="宋体" w:eastAsia="宋体" w:cs="宋体"/>
          <w:bCs/>
          <w:color w:val="auto"/>
          <w:sz w:val="24"/>
          <w:highlight w:val="none"/>
        </w:rPr>
        <w:t xml:space="preserve">一、我单位确保按中标结果确定价格并及时提供货物或服务。</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二、承诺的基本服务:(质保期、交货日期、是否响应付款方式等)</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三、需要采购人提供的配合:</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四、其他服务承诺:</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ind w:firstLine="60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eastAsia="宋体" w:cs="宋体"/>
          <w:color w:val="auto"/>
          <w:sz w:val="24"/>
          <w:highlight w:val="none"/>
          <w:lang w:val="zh-CN"/>
        </w:rPr>
        <w:t xml:space="preserve">:____________</w:t>
      </w:r>
      <w:r/>
    </w:p>
    <w:p>
      <w:pPr>
        <w:pStyle w:val="982"/>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日期:_____年______月______日</w:t>
      </w:r>
      <w:r/>
    </w:p>
    <w:p>
      <w:pPr>
        <w:pStyle w:val="982"/>
        <w:ind w:firstLine="0"/>
        <w:jc w:val="both"/>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sectPr>
      <w:headerReference w:type="even" r:id="rId11"/>
      <w:headerReference w:type="first" r:id="rId12"/>
      <w:footerReference w:type="even" r:id="rId15"/>
      <w:footerReference w:type="first" r:id="rId16"/>
      <w:footnotePr/>
      <w:endnotePr/>
      <w:type w:val="nextPage"/>
      <w:pgSz w:w="11907" w:h="16840" w:orient="portrait"/>
      <w:pgMar w:top="1440" w:right="1080" w:bottom="1440" w:left="1080"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Adobe 仿宋 Std R">
    <w:panose1 w:val="020B0503020202020204"/>
  </w:font>
  <w:font w:name="方正小标宋_GBK">
    <w:panose1 w:val="020B0503020202020204"/>
  </w:font>
  <w:font w:name="Tahoma">
    <w:panose1 w:val="020B0604030504040204"/>
  </w:font>
  <w:font w:name="ˎ̥">
    <w:panose1 w:val="020B0503020202020204"/>
  </w:font>
  <w:font w:name="楷体_GB2312">
    <w:panose1 w:val="02010609060101010101"/>
  </w:font>
  <w:font w:name="微软雅黑">
    <w:panose1 w:val="020B0503020204020204"/>
  </w:font>
  <w:font w:name="Calibri">
    <w:panose1 w:val="020F0502020204030204"/>
  </w:font>
  <w:font w:name="Symbol">
    <w:panose1 w:val="05050102010706020507"/>
  </w:font>
  <w:font w:name="仿宋">
    <w:panose1 w:val="02010609060101010101"/>
  </w:font>
  <w:font w:name="Courier New">
    <w:panose1 w:val="020703090202050204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5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2"/>
                          </w:pPr>
                          <w:r>
                            <w:fldChar w:fldCharType="begin"/>
                          </w:r>
                          <w:r>
                            <w:instrText xml:space="preserve"> PAGE  \* MERGEFORMAT </w:instrText>
                          </w:r>
                          <w:r>
                            <w:fldChar w:fldCharType="separate"/>
                          </w:r>
                          <w:r>
                            <w:t xml:space="preserve">38</w:t>
                          </w:r>
                          <w:r>
                            <w:fldChar w:fldCharType="end"/>
                          </w:r>
                          <w:r/>
                        </w:p>
                      </w:txbxContent>
                    </wps:txbx>
                    <wps:bodyPr vert="horz" wrap="none" lIns="0" tIns="0" rIns="0" bIns="0" anchor="t" anchorCtr="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02"/>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0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2"/>
                          </w:pPr>
                          <w:r>
                            <w:fldChar w:fldCharType="begin"/>
                          </w:r>
                          <w:r>
                            <w:instrText xml:space="preserve"> PAGE  \* MERGEFORMAT </w:instrText>
                          </w:r>
                          <w:r>
                            <w:fldChar w:fldCharType="separate"/>
                          </w:r>
                          <w:r>
                            <w:t xml:space="preserve">37</w:t>
                          </w:r>
                          <w:r>
                            <w:fldChar w:fldCharType="end"/>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02"/>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rPr>
        <w:rStyle w:val="1021"/>
      </w:rPr>
      <w:framePr w:wrap="around" w:vAnchor="text" w:hAnchor="margin" w:xAlign="right" w:y="1"/>
    </w:pPr>
    <w:r>
      <w:fldChar w:fldCharType="begin"/>
    </w:r>
    <w:r>
      <w:rPr>
        <w:rStyle w:val="1021"/>
      </w:rPr>
      <w:instrText xml:space="preserve">PAGE  </w:instrText>
    </w:r>
    <w:r>
      <w:fldChar w:fldCharType="end"/>
    </w:r>
    <w:r/>
  </w:p>
  <w:p>
    <w:pPr>
      <w:pStyle w:val="1002"/>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ind w:left="7200" w:hanging="7200"/>
      <w:jc w:val="both"/>
      <w:rPr>
        <w:rFonts w:hint="eastAsia" w:eastAsia="宋体"/>
        <w:lang w:eastAsia="zh-CN"/>
      </w:rPr>
      <w:pBdr>
        <w:bottom w:val="single" w:color="auto" w:sz="4" w:space="1"/>
      </w:pBdr>
    </w:pPr>
    <w:r>
      <w:rPr>
        <w:rFonts w:hint="eastAsia"/>
      </w:rPr>
      <mc:AlternateContent>
        <mc:Choice Requires="wpg">
          <w:drawing>
            <wp:inline xmlns:wp="http://schemas.openxmlformats.org/drawingml/2006/wordprocessingDrawing" distT="0" distB="0" distL="0" distR="0">
              <wp:extent cx="295275" cy="314960"/>
              <wp:effectExtent l="0" t="0" r="9525" b="8890"/>
              <wp:docPr id="1" name="图片 1" descr="中金LOGO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中金LOGO图片1"/>
                      <pic:cNvPicPr>
                        <a:picLocks noChangeAspect="1"/>
                      </pic:cNvPicPr>
                      <pic:nvPr/>
                    </pic:nvPicPr>
                    <pic:blipFill>
                      <a:blip r:embed="rId1"/>
                      <a:stretch/>
                    </pic:blipFill>
                    <pic:spPr bwMode="auto">
                      <a:xfrm>
                        <a:off x="0" y="0"/>
                        <a:ext cx="295274" cy="314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2pt;height:24.8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常州中金招投标有限公司                                                编号:</w:t>
    </w:r>
    <w:r>
      <w:rPr>
        <w:rFonts w:hint="eastAsia" w:ascii="宋体" w:hAnsi="宋体" w:cs="宋体"/>
        <w:lang w:eastAsia="zh-CN"/>
      </w:rPr>
      <w:t xml:space="preserve">JSZC-320400-CZZJ-G2025-0032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both"/>
      <w:rPr>
        <w:rFonts w:hint="eastAsia" w:eastAsia="宋体"/>
        <w:lang w:eastAsia="zh-CN"/>
      </w:rPr>
      <w:pBdr>
        <w:bottom w:val="single" w:color="auto" w:sz="4" w:space="1"/>
      </w:pBdr>
    </w:pPr>
    <w:r>
      <w:rPr>
        <w:rFonts w:hint="eastAsia"/>
      </w:rPr>
      <mc:AlternateContent>
        <mc:Choice Requires="wpg">
          <w:drawing>
            <wp:inline xmlns:wp="http://schemas.openxmlformats.org/drawingml/2006/wordprocessingDrawing" distT="0" distB="0" distL="0" distR="0">
              <wp:extent cx="295275" cy="314960"/>
              <wp:effectExtent l="0" t="0" r="9525" b="8890"/>
              <wp:docPr id="2" name="图片 3" descr="中金LOGO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中金LOGO图片1"/>
                      <pic:cNvPicPr>
                        <a:picLocks noChangeAspect="1"/>
                      </pic:cNvPicPr>
                      <pic:nvPr/>
                    </pic:nvPicPr>
                    <pic:blipFill>
                      <a:blip r:embed="rId1"/>
                      <a:stretch/>
                    </pic:blipFill>
                    <pic:spPr bwMode="auto">
                      <a:xfrm>
                        <a:off x="0" y="0"/>
                        <a:ext cx="295274" cy="314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2pt;height:24.8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常州中金招投标有限公司                                                编号:</w:t>
    </w:r>
    <w:r>
      <w:rPr>
        <w:rFonts w:hint="eastAsia" w:ascii="宋体" w:hAnsi="宋体" w:cs="宋体"/>
        <w:lang w:eastAsia="zh-CN"/>
      </w:rPr>
      <w:t xml:space="preserve">JSZC-320400-CZZJ-G2025-0032</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30"/>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lowerLetter"/>
      <w:pStyle w:val="1140"/>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2">
    <w:multiLevelType w:val="hybridMultilevel"/>
    <w:lvl w:ilvl="0">
      <w:start w:val="1"/>
      <w:numFmt w:val="decimal"/>
      <w:pStyle w:val="1207"/>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23"/>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22"/>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20"/>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19"/>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233"/>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33"/>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98"/>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4">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6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5">
    <w:multiLevelType w:val="hybridMultilevel"/>
    <w:lvl w:ilvl="0">
      <w:start w:val="1"/>
      <w:numFmt w:val="decimal"/>
      <w:pStyle w:val="1129"/>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pStyle w:val="1192"/>
      <w:isLgl w:val="false"/>
      <w:suff w:val="tab"/>
      <w:lvlText w:val="%1"/>
      <w:lvlJc w:val="left"/>
      <w:pPr>
        <w:ind w:left="680" w:hanging="680"/>
      </w:pPr>
      <w:rPr>
        <w:rFonts w:hint="eastAsia" w:ascii="宋体" w:hAnsi="宋体" w:eastAsia="宋体"/>
      </w:rPr>
    </w:lvl>
    <w:lvl w:ilvl="1">
      <w:start w:val="1"/>
      <w:numFmt w:val="decimal"/>
      <w:pStyle w:val="1235"/>
      <w:isLgl w:val="false"/>
      <w:suff w:val="tab"/>
      <w:lvlText w:val="%1.%2"/>
      <w:lvlJc w:val="left"/>
      <w:pPr>
        <w:ind w:left="851" w:hanging="851"/>
      </w:pPr>
      <w:rPr>
        <w:rFonts w:hint="eastAsia" w:ascii="宋体" w:hAnsi="宋体" w:eastAsia="宋体"/>
        <w:color w:val="auto"/>
      </w:rPr>
    </w:lvl>
    <w:lvl w:ilvl="2">
      <w:start w:val="1"/>
      <w:numFmt w:val="decimal"/>
      <w:pStyle w:val="119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7">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0"/>
  </w:num>
  <w:num w:numId="4">
    <w:abstractNumId w:val="1"/>
  </w:num>
  <w:num w:numId="5">
    <w:abstractNumId w:val="4"/>
  </w:num>
  <w:num w:numId="6">
    <w:abstractNumId w:val="6"/>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8">
    <w:name w:val="Heading 1 Char"/>
    <w:basedOn w:val="979"/>
    <w:link w:val="970"/>
    <w:uiPriority w:val="9"/>
    <w:rPr>
      <w:rFonts w:ascii="Arial" w:hAnsi="Arial" w:eastAsia="Arial" w:cs="Arial"/>
      <w:sz w:val="40"/>
      <w:szCs w:val="40"/>
    </w:rPr>
  </w:style>
  <w:style w:type="character" w:styleId="819">
    <w:name w:val="Heading 2 Char"/>
    <w:basedOn w:val="979"/>
    <w:link w:val="971"/>
    <w:uiPriority w:val="9"/>
    <w:rPr>
      <w:rFonts w:ascii="Arial" w:hAnsi="Arial" w:eastAsia="Arial" w:cs="Arial"/>
      <w:sz w:val="34"/>
    </w:rPr>
  </w:style>
  <w:style w:type="character" w:styleId="820">
    <w:name w:val="Heading 3 Char"/>
    <w:basedOn w:val="979"/>
    <w:link w:val="972"/>
    <w:uiPriority w:val="9"/>
    <w:rPr>
      <w:rFonts w:ascii="Arial" w:hAnsi="Arial" w:eastAsia="Arial" w:cs="Arial"/>
      <w:sz w:val="30"/>
      <w:szCs w:val="30"/>
    </w:rPr>
  </w:style>
  <w:style w:type="character" w:styleId="821">
    <w:name w:val="Heading 4 Char"/>
    <w:basedOn w:val="979"/>
    <w:link w:val="1227"/>
    <w:uiPriority w:val="9"/>
    <w:rPr>
      <w:rFonts w:ascii="Arial" w:hAnsi="Arial" w:eastAsia="Arial" w:cs="Arial"/>
      <w:b/>
      <w:bCs/>
      <w:sz w:val="26"/>
      <w:szCs w:val="26"/>
    </w:rPr>
  </w:style>
  <w:style w:type="character" w:styleId="822">
    <w:name w:val="Heading 5 Char"/>
    <w:basedOn w:val="979"/>
    <w:link w:val="974"/>
    <w:uiPriority w:val="9"/>
    <w:rPr>
      <w:rFonts w:ascii="Arial" w:hAnsi="Arial" w:eastAsia="Arial" w:cs="Arial"/>
      <w:b/>
      <w:bCs/>
      <w:sz w:val="24"/>
      <w:szCs w:val="24"/>
    </w:rPr>
  </w:style>
  <w:style w:type="character" w:styleId="823">
    <w:name w:val="Heading 6 Char"/>
    <w:basedOn w:val="979"/>
    <w:link w:val="975"/>
    <w:uiPriority w:val="9"/>
    <w:rPr>
      <w:rFonts w:ascii="Arial" w:hAnsi="Arial" w:eastAsia="Arial" w:cs="Arial"/>
      <w:b/>
      <w:bCs/>
      <w:sz w:val="22"/>
      <w:szCs w:val="22"/>
    </w:rPr>
  </w:style>
  <w:style w:type="character" w:styleId="824">
    <w:name w:val="Heading 7 Char"/>
    <w:basedOn w:val="979"/>
    <w:link w:val="976"/>
    <w:uiPriority w:val="9"/>
    <w:rPr>
      <w:rFonts w:ascii="Arial" w:hAnsi="Arial" w:eastAsia="Arial" w:cs="Arial"/>
      <w:b/>
      <w:bCs/>
      <w:i/>
      <w:iCs/>
      <w:sz w:val="22"/>
      <w:szCs w:val="22"/>
    </w:rPr>
  </w:style>
  <w:style w:type="character" w:styleId="825">
    <w:name w:val="Heading 8 Char"/>
    <w:basedOn w:val="979"/>
    <w:link w:val="977"/>
    <w:uiPriority w:val="9"/>
    <w:rPr>
      <w:rFonts w:ascii="Arial" w:hAnsi="Arial" w:eastAsia="Arial" w:cs="Arial"/>
      <w:i/>
      <w:iCs/>
      <w:sz w:val="22"/>
      <w:szCs w:val="22"/>
    </w:rPr>
  </w:style>
  <w:style w:type="character" w:styleId="826">
    <w:name w:val="Heading 9 Char"/>
    <w:basedOn w:val="979"/>
    <w:link w:val="978"/>
    <w:uiPriority w:val="9"/>
    <w:rPr>
      <w:rFonts w:ascii="Arial" w:hAnsi="Arial" w:eastAsia="Arial" w:cs="Arial"/>
      <w:i/>
      <w:iCs/>
      <w:sz w:val="21"/>
      <w:szCs w:val="21"/>
    </w:rPr>
  </w:style>
  <w:style w:type="character" w:styleId="827">
    <w:name w:val="Title Char"/>
    <w:basedOn w:val="979"/>
    <w:link w:val="1015"/>
    <w:uiPriority w:val="10"/>
    <w:rPr>
      <w:sz w:val="48"/>
      <w:szCs w:val="48"/>
    </w:rPr>
  </w:style>
  <w:style w:type="paragraph" w:styleId="828">
    <w:name w:val="Subtitle"/>
    <w:basedOn w:val="969"/>
    <w:next w:val="969"/>
    <w:link w:val="829"/>
    <w:uiPriority w:val="11"/>
    <w:qFormat/>
    <w:pPr>
      <w:spacing w:before="200" w:after="200"/>
    </w:pPr>
    <w:rPr>
      <w:sz w:val="24"/>
      <w:szCs w:val="24"/>
    </w:rPr>
  </w:style>
  <w:style w:type="character" w:styleId="829">
    <w:name w:val="Subtitle Char"/>
    <w:basedOn w:val="979"/>
    <w:link w:val="828"/>
    <w:uiPriority w:val="11"/>
    <w:rPr>
      <w:sz w:val="24"/>
      <w:szCs w:val="24"/>
    </w:rPr>
  </w:style>
  <w:style w:type="paragraph" w:styleId="830">
    <w:name w:val="Quote"/>
    <w:basedOn w:val="969"/>
    <w:next w:val="969"/>
    <w:link w:val="831"/>
    <w:uiPriority w:val="29"/>
    <w:qFormat/>
    <w:pPr>
      <w:ind w:left="720" w:right="720"/>
    </w:pPr>
    <w:rPr>
      <w:i/>
    </w:rPr>
  </w:style>
  <w:style w:type="character" w:styleId="831">
    <w:name w:val="Quote Char"/>
    <w:link w:val="830"/>
    <w:uiPriority w:val="29"/>
    <w:rPr>
      <w:i/>
    </w:rPr>
  </w:style>
  <w:style w:type="character" w:styleId="832">
    <w:name w:val="Intense Quote Char"/>
    <w:link w:val="1242"/>
    <w:uiPriority w:val="30"/>
    <w:rPr>
      <w:i/>
    </w:rPr>
  </w:style>
  <w:style w:type="character" w:styleId="833">
    <w:name w:val="Header Char"/>
    <w:basedOn w:val="979"/>
    <w:link w:val="1004"/>
    <w:uiPriority w:val="99"/>
  </w:style>
  <w:style w:type="character" w:styleId="834">
    <w:name w:val="Footer Char"/>
    <w:basedOn w:val="979"/>
    <w:link w:val="1002"/>
    <w:uiPriority w:val="99"/>
  </w:style>
  <w:style w:type="character" w:styleId="835">
    <w:name w:val="Caption Char"/>
    <w:basedOn w:val="985"/>
    <w:link w:val="1002"/>
    <w:uiPriority w:val="99"/>
  </w:style>
  <w:style w:type="table" w:styleId="836">
    <w:name w:val="Table Grid Light"/>
    <w:basedOn w:val="9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7">
    <w:name w:val="Plain Table 1"/>
    <w:basedOn w:val="9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name w:val="Plain Table 2"/>
    <w:basedOn w:val="9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3"/>
    <w:basedOn w:val="9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name w:val="Plain Table 4"/>
    <w:basedOn w:val="9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name w:val="Plain Table 5"/>
    <w:basedOn w:val="9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2">
    <w:name w:val="Grid Table 1 Light"/>
    <w:basedOn w:val="9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3">
    <w:name w:val="Grid Table 1 Light - Accent 1"/>
    <w:basedOn w:val="9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4">
    <w:name w:val="Grid Table 1 Light - Accent 2"/>
    <w:basedOn w:val="9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5">
    <w:name w:val="Grid Table 1 Light - Accent 3"/>
    <w:basedOn w:val="9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6">
    <w:name w:val="Grid Table 1 Light - Accent 4"/>
    <w:basedOn w:val="9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7">
    <w:name w:val="Grid Table 1 Light - Accent 5"/>
    <w:basedOn w:val="9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8">
    <w:name w:val="Grid Table 1 Light - Accent 6"/>
    <w:basedOn w:val="9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9">
    <w:name w:val="Grid Table 2"/>
    <w:basedOn w:val="9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0">
    <w:name w:val="Grid Table 2 - Accent 1"/>
    <w:basedOn w:val="9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1">
    <w:name w:val="Grid Table 2 - Accent 2"/>
    <w:basedOn w:val="9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2">
    <w:name w:val="Grid Table 2 - Accent 3"/>
    <w:basedOn w:val="9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3">
    <w:name w:val="Grid Table 2 - Accent 4"/>
    <w:basedOn w:val="9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4">
    <w:name w:val="Grid Table 2 - Accent 5"/>
    <w:basedOn w:val="9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5">
    <w:name w:val="Grid Table 2 - Accent 6"/>
    <w:basedOn w:val="9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6">
    <w:name w:val="Grid Table 3"/>
    <w:basedOn w:val="9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1"/>
    <w:basedOn w:val="9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2"/>
    <w:basedOn w:val="9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3"/>
    <w:basedOn w:val="9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4"/>
    <w:basedOn w:val="9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5"/>
    <w:basedOn w:val="9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6"/>
    <w:basedOn w:val="9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4"/>
    <w:basedOn w:val="9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name w:val="Grid Table 4 - Accent 1"/>
    <w:basedOn w:val="9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5">
    <w:name w:val="Grid Table 4 - Accent 2"/>
    <w:basedOn w:val="9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6">
    <w:name w:val="Grid Table 4 - Accent 3"/>
    <w:basedOn w:val="9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7">
    <w:name w:val="Grid Table 4 - Accent 4"/>
    <w:basedOn w:val="9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8">
    <w:name w:val="Grid Table 4 - Accent 5"/>
    <w:basedOn w:val="9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9">
    <w:name w:val="Grid Table 4 - Accent 6"/>
    <w:basedOn w:val="9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0">
    <w:name w:val="Grid Table 5 Dark"/>
    <w:basedOn w:val="9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1">
    <w:name w:val="Grid Table 5 Dark- Accent 1"/>
    <w:basedOn w:val="9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2">
    <w:name w:val="Grid Table 5 Dark - Accent 2"/>
    <w:basedOn w:val="9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3">
    <w:name w:val="Grid Table 5 Dark - Accent 3"/>
    <w:basedOn w:val="9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4">
    <w:name w:val="Grid Table 5 Dark- Accent 4"/>
    <w:basedOn w:val="9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5">
    <w:name w:val="Grid Table 5 Dark - Accent 5"/>
    <w:basedOn w:val="9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6">
    <w:name w:val="Grid Table 5 Dark - Accent 6"/>
    <w:basedOn w:val="9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7">
    <w:name w:val="Grid Table 6 Colorful"/>
    <w:basedOn w:val="9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8">
    <w:name w:val="Grid Table 6 Colorful - Accent 1"/>
    <w:basedOn w:val="9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9">
    <w:name w:val="Grid Table 6 Colorful - Accent 2"/>
    <w:basedOn w:val="9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0">
    <w:name w:val="Grid Table 6 Colorful - Accent 3"/>
    <w:basedOn w:val="9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1">
    <w:name w:val="Grid Table 6 Colorful - Accent 4"/>
    <w:basedOn w:val="9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2">
    <w:name w:val="Grid Table 6 Colorful - Accent 5"/>
    <w:basedOn w:val="9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3">
    <w:name w:val="Grid Table 6 Colorful - Accent 6"/>
    <w:basedOn w:val="9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4">
    <w:name w:val="Grid Table 7 Colorful"/>
    <w:basedOn w:val="9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5">
    <w:name w:val="Grid Table 7 Colorful - Accent 1"/>
    <w:basedOn w:val="9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6">
    <w:name w:val="Grid Table 7 Colorful - Accent 2"/>
    <w:basedOn w:val="9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7">
    <w:name w:val="Grid Table 7 Colorful - Accent 3"/>
    <w:basedOn w:val="9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8">
    <w:name w:val="Grid Table 7 Colorful - Accent 4"/>
    <w:basedOn w:val="9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9">
    <w:name w:val="Grid Table 7 Colorful - Accent 5"/>
    <w:basedOn w:val="9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0">
    <w:name w:val="Grid Table 7 Colorful - Accent 6"/>
    <w:basedOn w:val="9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1">
    <w:name w:val="List Table 1 Light"/>
    <w:basedOn w:val="9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name w:val="List Table 1 Light - Accent 1"/>
    <w:basedOn w:val="98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3">
    <w:name w:val="List Table 1 Light - Accent 2"/>
    <w:basedOn w:val="98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4">
    <w:name w:val="List Table 1 Light - Accent 3"/>
    <w:basedOn w:val="98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5">
    <w:name w:val="List Table 1 Light - Accent 4"/>
    <w:basedOn w:val="98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6">
    <w:name w:val="List Table 1 Light - Accent 5"/>
    <w:basedOn w:val="98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7">
    <w:name w:val="List Table 1 Light - Accent 6"/>
    <w:basedOn w:val="98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8">
    <w:name w:val="List Table 2"/>
    <w:basedOn w:val="9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9">
    <w:name w:val="List Table 2 - Accent 1"/>
    <w:basedOn w:val="9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0">
    <w:name w:val="List Table 2 - Accent 2"/>
    <w:basedOn w:val="9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1">
    <w:name w:val="List Table 2 - Accent 3"/>
    <w:basedOn w:val="9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2">
    <w:name w:val="List Table 2 - Accent 4"/>
    <w:basedOn w:val="9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3">
    <w:name w:val="List Table 2 - Accent 5"/>
    <w:basedOn w:val="9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4">
    <w:name w:val="List Table 2 - Accent 6"/>
    <w:basedOn w:val="9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5">
    <w:name w:val="List Table 3"/>
    <w:basedOn w:val="9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6">
    <w:name w:val="List Table 3 - Accent 1"/>
    <w:basedOn w:val="9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7">
    <w:name w:val="List Table 3 - Accent 2"/>
    <w:basedOn w:val="9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8">
    <w:name w:val="List Table 3 - Accent 3"/>
    <w:basedOn w:val="9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9">
    <w:name w:val="List Table 3 - Accent 4"/>
    <w:basedOn w:val="9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0">
    <w:name w:val="List Table 3 - Accent 5"/>
    <w:basedOn w:val="9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1">
    <w:name w:val="List Table 3 - Accent 6"/>
    <w:basedOn w:val="9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2">
    <w:name w:val="List Table 4"/>
    <w:basedOn w:val="9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3">
    <w:name w:val="List Table 4 - Accent 1"/>
    <w:basedOn w:val="9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4">
    <w:name w:val="List Table 4 - Accent 2"/>
    <w:basedOn w:val="9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5">
    <w:name w:val="List Table 4 - Accent 3"/>
    <w:basedOn w:val="9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6">
    <w:name w:val="List Table 4 - Accent 4"/>
    <w:basedOn w:val="9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7">
    <w:name w:val="List Table 4 - Accent 5"/>
    <w:basedOn w:val="9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8">
    <w:name w:val="List Table 4 - Accent 6"/>
    <w:basedOn w:val="9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9">
    <w:name w:val="List Table 5 Dark"/>
    <w:basedOn w:val="9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1"/>
    <w:basedOn w:val="9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2"/>
    <w:basedOn w:val="9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3"/>
    <w:basedOn w:val="9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4"/>
    <w:basedOn w:val="9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5"/>
    <w:basedOn w:val="9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6"/>
    <w:basedOn w:val="9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6 Colorful"/>
    <w:basedOn w:val="9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7">
    <w:name w:val="List Table 6 Colorful - Accent 1"/>
    <w:basedOn w:val="9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8">
    <w:name w:val="List Table 6 Colorful - Accent 2"/>
    <w:basedOn w:val="9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9">
    <w:name w:val="List Table 6 Colorful - Accent 3"/>
    <w:basedOn w:val="9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0">
    <w:name w:val="List Table 6 Colorful - Accent 4"/>
    <w:basedOn w:val="9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1">
    <w:name w:val="List Table 6 Colorful - Accent 5"/>
    <w:basedOn w:val="9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2">
    <w:name w:val="List Table 6 Colorful - Accent 6"/>
    <w:basedOn w:val="9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3">
    <w:name w:val="List Table 7 Colorful"/>
    <w:basedOn w:val="9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4">
    <w:name w:val="List Table 7 Colorful - Accent 1"/>
    <w:basedOn w:val="9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5">
    <w:name w:val="List Table 7 Colorful - Accent 2"/>
    <w:basedOn w:val="9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6">
    <w:name w:val="List Table 7 Colorful - Accent 3"/>
    <w:basedOn w:val="9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7">
    <w:name w:val="List Table 7 Colorful - Accent 4"/>
    <w:basedOn w:val="9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8">
    <w:name w:val="List Table 7 Colorful - Accent 5"/>
    <w:basedOn w:val="9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9">
    <w:name w:val="List Table 7 Colorful - Accent 6"/>
    <w:basedOn w:val="9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0">
    <w:name w:val="Lined - Accent"/>
    <w:basedOn w:val="9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1">
    <w:name w:val="Lined - Accent 1"/>
    <w:basedOn w:val="9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2">
    <w:name w:val="Lined - Accent 2"/>
    <w:basedOn w:val="9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3">
    <w:name w:val="Lined - Accent 3"/>
    <w:basedOn w:val="9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4">
    <w:name w:val="Lined - Accent 4"/>
    <w:basedOn w:val="9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5">
    <w:name w:val="Lined - Accent 5"/>
    <w:basedOn w:val="9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6">
    <w:name w:val="Lined - Accent 6"/>
    <w:basedOn w:val="9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7">
    <w:name w:val="Bordered &amp; Lined - Accent"/>
    <w:basedOn w:val="9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8">
    <w:name w:val="Bordered &amp; Lined - Accent 1"/>
    <w:basedOn w:val="9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9">
    <w:name w:val="Bordered &amp; Lined - Accent 2"/>
    <w:basedOn w:val="9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0">
    <w:name w:val="Bordered &amp; Lined - Accent 3"/>
    <w:basedOn w:val="9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1">
    <w:name w:val="Bordered &amp; Lined - Accent 4"/>
    <w:basedOn w:val="9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2">
    <w:name w:val="Bordered &amp; Lined - Accent 5"/>
    <w:basedOn w:val="9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3">
    <w:name w:val="Bordered &amp; Lined - Accent 6"/>
    <w:basedOn w:val="9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4">
    <w:name w:val="Bordered"/>
    <w:basedOn w:val="9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5">
    <w:name w:val="Bordered - Accent 1"/>
    <w:basedOn w:val="9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6">
    <w:name w:val="Bordered - Accent 2"/>
    <w:basedOn w:val="9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7">
    <w:name w:val="Bordered - Accent 3"/>
    <w:basedOn w:val="9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8">
    <w:name w:val="Bordered - Accent 4"/>
    <w:basedOn w:val="9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9">
    <w:name w:val="Bordered - Accent 5"/>
    <w:basedOn w:val="9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0">
    <w:name w:val="Bordered - Accent 6"/>
    <w:basedOn w:val="9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61">
    <w:name w:val="footnote text"/>
    <w:basedOn w:val="969"/>
    <w:link w:val="962"/>
    <w:uiPriority w:val="99"/>
    <w:semiHidden/>
    <w:unhideWhenUsed/>
    <w:pPr>
      <w:spacing w:after="40" w:line="240" w:lineRule="auto"/>
    </w:pPr>
    <w:rPr>
      <w:sz w:val="18"/>
    </w:rPr>
  </w:style>
  <w:style w:type="character" w:styleId="962">
    <w:name w:val="Footnote Text Char"/>
    <w:link w:val="961"/>
    <w:uiPriority w:val="99"/>
    <w:rPr>
      <w:sz w:val="18"/>
    </w:rPr>
  </w:style>
  <w:style w:type="character" w:styleId="963">
    <w:name w:val="footnote reference"/>
    <w:basedOn w:val="979"/>
    <w:uiPriority w:val="99"/>
    <w:unhideWhenUsed/>
    <w:rPr>
      <w:vertAlign w:val="superscript"/>
    </w:rPr>
  </w:style>
  <w:style w:type="paragraph" w:styleId="964">
    <w:name w:val="endnote text"/>
    <w:basedOn w:val="969"/>
    <w:link w:val="965"/>
    <w:uiPriority w:val="99"/>
    <w:semiHidden/>
    <w:unhideWhenUsed/>
    <w:pPr>
      <w:spacing w:after="0" w:line="240" w:lineRule="auto"/>
    </w:pPr>
    <w:rPr>
      <w:sz w:val="20"/>
    </w:rPr>
  </w:style>
  <w:style w:type="character" w:styleId="965">
    <w:name w:val="Endnote Text Char"/>
    <w:link w:val="964"/>
    <w:uiPriority w:val="99"/>
    <w:rPr>
      <w:sz w:val="20"/>
    </w:rPr>
  </w:style>
  <w:style w:type="character" w:styleId="966">
    <w:name w:val="endnote reference"/>
    <w:basedOn w:val="979"/>
    <w:uiPriority w:val="99"/>
    <w:semiHidden/>
    <w:unhideWhenUsed/>
    <w:rPr>
      <w:vertAlign w:val="superscript"/>
    </w:rPr>
  </w:style>
  <w:style w:type="paragraph" w:styleId="967">
    <w:name w:val="TOC Heading"/>
    <w:uiPriority w:val="39"/>
    <w:unhideWhenUsed/>
  </w:style>
  <w:style w:type="paragraph" w:styleId="968">
    <w:name w:val="table of figures"/>
    <w:basedOn w:val="969"/>
    <w:next w:val="969"/>
    <w:uiPriority w:val="99"/>
    <w:unhideWhenUsed/>
    <w:pPr>
      <w:spacing w:after="0" w:afterAutospacing="0"/>
    </w:pPr>
  </w:style>
  <w:style w:type="paragraph" w:styleId="969" w:default="1">
    <w:name w:val="Normal"/>
    <w:next w:val="981"/>
    <w:uiPriority w:val="0"/>
    <w:qFormat/>
    <w:pPr>
      <w:jc w:val="both"/>
      <w:widowControl w:val="off"/>
    </w:pPr>
    <w:rPr>
      <w:rFonts w:ascii="Times New Roman" w:hAnsi="Times New Roman" w:eastAsia="宋体" w:cs="Times New Roman"/>
      <w:sz w:val="21"/>
      <w:szCs w:val="24"/>
      <w:lang w:val="en-US" w:eastAsia="zh-CN" w:bidi="ar-SA"/>
    </w:rPr>
  </w:style>
  <w:style w:type="paragraph" w:styleId="970">
    <w:name w:val="Heading 1"/>
    <w:basedOn w:val="969"/>
    <w:next w:val="969"/>
    <w:link w:val="1028"/>
    <w:uiPriority w:val="0"/>
    <w:qFormat/>
    <w:pPr>
      <w:jc w:val="center"/>
      <w:keepLines/>
      <w:keepNext/>
      <w:spacing w:before="240" w:after="120" w:line="300" w:lineRule="auto"/>
      <w:outlineLvl w:val="0"/>
    </w:pPr>
    <w:rPr>
      <w:rFonts w:ascii="宋体"/>
      <w:b/>
      <w:sz w:val="32"/>
      <w:szCs w:val="20"/>
    </w:rPr>
  </w:style>
  <w:style w:type="paragraph" w:styleId="971">
    <w:name w:val="Heading 2"/>
    <w:basedOn w:val="969"/>
    <w:next w:val="982"/>
    <w:link w:val="1029"/>
    <w:uiPriority w:val="0"/>
    <w:qFormat/>
    <w:pPr>
      <w:jc w:val="center"/>
      <w:keepLines/>
      <w:keepNext/>
      <w:spacing w:before="120" w:line="300" w:lineRule="auto"/>
      <w:outlineLvl w:val="1"/>
    </w:pPr>
    <w:rPr>
      <w:rFonts w:ascii="Arial" w:hAnsi="Arial" w:eastAsia="黑体"/>
      <w:b/>
      <w:sz w:val="30"/>
      <w:szCs w:val="20"/>
    </w:rPr>
  </w:style>
  <w:style w:type="paragraph" w:styleId="972">
    <w:name w:val="Heading 3"/>
    <w:basedOn w:val="969"/>
    <w:next w:val="982"/>
    <w:link w:val="1031"/>
    <w:uiPriority w:val="0"/>
    <w:qFormat/>
    <w:pPr>
      <w:jc w:val="left"/>
      <w:keepLines/>
      <w:keepNext/>
      <w:spacing w:before="360" w:after="120"/>
      <w:outlineLvl w:val="2"/>
    </w:pPr>
    <w:rPr>
      <w:rFonts w:ascii="宋体"/>
      <w:b/>
      <w:sz w:val="24"/>
      <w:szCs w:val="20"/>
      <w:u w:val="single"/>
    </w:rPr>
  </w:style>
  <w:style w:type="paragraph" w:styleId="973">
    <w:name w:val="Heading 4"/>
    <w:basedOn w:val="969"/>
    <w:next w:val="969"/>
    <w:link w:val="1032"/>
    <w:uiPriority w:val="0"/>
    <w:qFormat/>
    <w:pPr>
      <w:keepLines/>
      <w:keepNext/>
      <w:spacing w:before="280" w:after="290" w:line="376" w:lineRule="atLeast"/>
      <w:outlineLvl w:val="3"/>
    </w:pPr>
    <w:rPr>
      <w:rFonts w:ascii="Arial" w:hAnsi="Arial" w:eastAsia="黑体"/>
      <w:b/>
      <w:sz w:val="28"/>
      <w:szCs w:val="20"/>
    </w:rPr>
  </w:style>
  <w:style w:type="paragraph" w:styleId="974">
    <w:name w:val="Heading 5"/>
    <w:basedOn w:val="969"/>
    <w:next w:val="969"/>
    <w:link w:val="1033"/>
    <w:uiPriority w:val="0"/>
    <w:qFormat/>
    <w:pPr>
      <w:keepLines/>
      <w:keepNext/>
      <w:spacing w:before="280" w:after="290" w:line="376" w:lineRule="atLeast"/>
      <w:outlineLvl w:val="4"/>
    </w:pPr>
    <w:rPr>
      <w:b/>
      <w:sz w:val="28"/>
      <w:szCs w:val="20"/>
    </w:rPr>
  </w:style>
  <w:style w:type="paragraph" w:styleId="975">
    <w:name w:val="Heading 6"/>
    <w:basedOn w:val="969"/>
    <w:next w:val="969"/>
    <w:link w:val="1034"/>
    <w:uiPriority w:val="0"/>
    <w:qFormat/>
    <w:pPr>
      <w:keepLines/>
      <w:keepNext/>
      <w:spacing w:before="240" w:after="64" w:line="320" w:lineRule="atLeast"/>
      <w:outlineLvl w:val="5"/>
    </w:pPr>
    <w:rPr>
      <w:rFonts w:ascii="Arial" w:hAnsi="Arial" w:eastAsia="黑体"/>
      <w:b/>
      <w:sz w:val="24"/>
      <w:szCs w:val="20"/>
    </w:rPr>
  </w:style>
  <w:style w:type="paragraph" w:styleId="976">
    <w:name w:val="Heading 7"/>
    <w:basedOn w:val="969"/>
    <w:next w:val="969"/>
    <w:link w:val="1035"/>
    <w:uiPriority w:val="0"/>
    <w:qFormat/>
    <w:pPr>
      <w:keepLines/>
      <w:keepNext/>
      <w:spacing w:before="240" w:after="64" w:line="320" w:lineRule="atLeast"/>
      <w:outlineLvl w:val="6"/>
    </w:pPr>
    <w:rPr>
      <w:b/>
      <w:sz w:val="24"/>
      <w:szCs w:val="20"/>
    </w:rPr>
  </w:style>
  <w:style w:type="paragraph" w:styleId="977">
    <w:name w:val="Heading 8"/>
    <w:basedOn w:val="969"/>
    <w:next w:val="969"/>
    <w:link w:val="1036"/>
    <w:uiPriority w:val="0"/>
    <w:qFormat/>
    <w:pPr>
      <w:keepLines/>
      <w:keepNext/>
      <w:spacing w:before="240" w:after="64" w:line="320" w:lineRule="atLeast"/>
      <w:outlineLvl w:val="7"/>
    </w:pPr>
    <w:rPr>
      <w:rFonts w:ascii="Arial" w:hAnsi="Arial" w:eastAsia="黑体"/>
      <w:sz w:val="24"/>
      <w:szCs w:val="20"/>
    </w:rPr>
  </w:style>
  <w:style w:type="paragraph" w:styleId="978">
    <w:name w:val="Heading 9"/>
    <w:basedOn w:val="969"/>
    <w:next w:val="969"/>
    <w:link w:val="1037"/>
    <w:uiPriority w:val="0"/>
    <w:qFormat/>
    <w:pPr>
      <w:keepLines/>
      <w:keepNext/>
      <w:spacing w:before="240" w:after="64" w:line="320" w:lineRule="atLeast"/>
      <w:outlineLvl w:val="8"/>
    </w:pPr>
    <w:rPr>
      <w:rFonts w:ascii="Arial" w:hAnsi="Arial" w:eastAsia="黑体"/>
      <w:szCs w:val="20"/>
    </w:rPr>
  </w:style>
  <w:style w:type="character" w:styleId="979" w:default="1">
    <w:name w:val="Default Paragraph Font"/>
    <w:uiPriority w:val="1"/>
    <w:semiHidden/>
    <w:unhideWhenUsed/>
    <w:qFormat/>
  </w:style>
  <w:style w:type="table" w:styleId="980" w:default="1">
    <w:name w:val="Normal Table"/>
    <w:uiPriority w:val="99"/>
    <w:semiHidden/>
    <w:unhideWhenUsed/>
    <w:qFormat/>
    <w:tblPr>
      <w:tblCellMar>
        <w:left w:w="108" w:type="dxa"/>
        <w:top w:w="0" w:type="dxa"/>
        <w:right w:w="108" w:type="dxa"/>
        <w:bottom w:w="0" w:type="dxa"/>
      </w:tblCellMar>
    </w:tblPr>
  </w:style>
  <w:style w:type="paragraph" w:styleId="981" w:customStyle="1">
    <w:name w:val="页脚1"/>
    <w:basedOn w:val="969"/>
    <w:uiPriority w:val="99"/>
    <w:qFormat/>
    <w:pPr>
      <w:jc w:val="left"/>
    </w:pPr>
    <w:rPr>
      <w:rFonts w:ascii="宋体"/>
      <w:sz w:val="18"/>
      <w:szCs w:val="20"/>
    </w:rPr>
  </w:style>
  <w:style w:type="paragraph" w:styleId="982">
    <w:name w:val="Normal Indent"/>
    <w:basedOn w:val="969"/>
    <w:link w:val="1030"/>
    <w:uiPriority w:val="0"/>
    <w:qFormat/>
    <w:pPr>
      <w:ind w:firstLine="420"/>
      <w:jc w:val="left"/>
    </w:pPr>
    <w:rPr>
      <w:rFonts w:ascii="宋体"/>
      <w:sz w:val="24"/>
    </w:rPr>
  </w:style>
  <w:style w:type="paragraph" w:styleId="983">
    <w:name w:val="toc 7"/>
    <w:basedOn w:val="969"/>
    <w:next w:val="969"/>
    <w:uiPriority w:val="0"/>
    <w:qFormat/>
    <w:pPr>
      <w:ind w:left="2520"/>
    </w:pPr>
  </w:style>
  <w:style w:type="paragraph" w:styleId="984">
    <w:name w:val="table of authorities"/>
    <w:basedOn w:val="969"/>
    <w:next w:val="969"/>
    <w:uiPriority w:val="99"/>
    <w:unhideWhenUsed/>
    <w:qFormat/>
    <w:pPr>
      <w:ind w:left="420"/>
    </w:pPr>
  </w:style>
  <w:style w:type="paragraph" w:styleId="985">
    <w:name w:val="Caption"/>
    <w:basedOn w:val="969"/>
    <w:next w:val="969"/>
    <w:uiPriority w:val="0"/>
    <w:qFormat/>
    <w:pPr>
      <w:spacing w:line="480" w:lineRule="auto"/>
    </w:pPr>
    <w:rPr>
      <w:rFonts w:ascii="华文中宋" w:hAnsi="华文中宋" w:eastAsia="华文中宋"/>
      <w:sz w:val="36"/>
      <w:szCs w:val="20"/>
    </w:rPr>
  </w:style>
  <w:style w:type="paragraph" w:styleId="986">
    <w:name w:val="Document Map"/>
    <w:basedOn w:val="969"/>
    <w:link w:val="1038"/>
    <w:uiPriority w:val="0"/>
    <w:qFormat/>
    <w:pPr>
      <w:shd w:val="clear" w:color="auto" w:fill="000080"/>
    </w:pPr>
  </w:style>
  <w:style w:type="paragraph" w:styleId="987">
    <w:name w:val="annotation text"/>
    <w:basedOn w:val="969"/>
    <w:link w:val="1039"/>
    <w:uiPriority w:val="99"/>
    <w:qFormat/>
    <w:pPr>
      <w:jc w:val="left"/>
    </w:pPr>
  </w:style>
  <w:style w:type="paragraph" w:styleId="988">
    <w:name w:val="Body Text 3"/>
    <w:basedOn w:val="969"/>
    <w:link w:val="1040"/>
    <w:uiPriority w:val="0"/>
    <w:qFormat/>
    <w:pPr>
      <w:spacing w:after="120"/>
    </w:pPr>
    <w:rPr>
      <w:sz w:val="16"/>
      <w:szCs w:val="16"/>
    </w:rPr>
  </w:style>
  <w:style w:type="paragraph" w:styleId="989">
    <w:name w:val="Body Text"/>
    <w:basedOn w:val="969"/>
    <w:next w:val="969"/>
    <w:link w:val="1041"/>
    <w:uiPriority w:val="0"/>
    <w:qFormat/>
    <w:pPr>
      <w:spacing w:before="120" w:line="22" w:lineRule="atLeast"/>
      <w:tabs>
        <w:tab w:val="left" w:pos="567" w:leader="none"/>
      </w:tabs>
    </w:pPr>
    <w:rPr>
      <w:rFonts w:ascii="宋体" w:hAnsi="宋体"/>
      <w:sz w:val="24"/>
    </w:rPr>
  </w:style>
  <w:style w:type="paragraph" w:styleId="990">
    <w:name w:val="Body Text Indent"/>
    <w:basedOn w:val="969"/>
    <w:next w:val="991"/>
    <w:link w:val="1042"/>
    <w:uiPriority w:val="0"/>
    <w:qFormat/>
    <w:pPr>
      <w:ind w:firstLine="570"/>
      <w:spacing w:line="360" w:lineRule="auto"/>
    </w:pPr>
    <w:rPr>
      <w:sz w:val="24"/>
    </w:rPr>
  </w:style>
  <w:style w:type="paragraph" w:styleId="991">
    <w:name w:val="Body Text First Indent 2"/>
    <w:basedOn w:val="990"/>
    <w:next w:val="969"/>
    <w:link w:val="1053"/>
    <w:uiPriority w:val="0"/>
    <w:qFormat/>
    <w:pPr>
      <w:ind w:left="420" w:firstLine="420"/>
      <w:spacing w:after="120" w:line="480" w:lineRule="exact"/>
    </w:pPr>
  </w:style>
  <w:style w:type="paragraph" w:styleId="992">
    <w:name w:val="List 2"/>
    <w:basedOn w:val="969"/>
    <w:uiPriority w:val="0"/>
    <w:qFormat/>
    <w:pPr>
      <w:ind w:left="100" w:hanging="200"/>
    </w:pPr>
  </w:style>
  <w:style w:type="paragraph" w:styleId="993">
    <w:name w:val="Block Text"/>
    <w:basedOn w:val="969"/>
    <w:uiPriority w:val="0"/>
    <w:qFormat/>
    <w:pPr>
      <w:ind w:left="480" w:right="-341" w:firstLine="513"/>
      <w:widowControl/>
    </w:pPr>
    <w:rPr>
      <w:sz w:val="24"/>
      <w:szCs w:val="20"/>
    </w:rPr>
  </w:style>
  <w:style w:type="paragraph" w:styleId="994">
    <w:name w:val="index 4"/>
    <w:basedOn w:val="969"/>
    <w:next w:val="969"/>
    <w:uiPriority w:val="0"/>
    <w:semiHidden/>
    <w:qFormat/>
    <w:pPr>
      <w:ind w:left="1260"/>
    </w:pPr>
  </w:style>
  <w:style w:type="paragraph" w:styleId="995">
    <w:name w:val="toc 5"/>
    <w:basedOn w:val="969"/>
    <w:next w:val="969"/>
    <w:uiPriority w:val="0"/>
    <w:qFormat/>
    <w:pPr>
      <w:ind w:left="1680"/>
    </w:pPr>
  </w:style>
  <w:style w:type="paragraph" w:styleId="996">
    <w:name w:val="toc 3"/>
    <w:basedOn w:val="969"/>
    <w:next w:val="969"/>
    <w:uiPriority w:val="39"/>
    <w:qFormat/>
    <w:pPr>
      <w:ind w:left="840"/>
    </w:pPr>
  </w:style>
  <w:style w:type="paragraph" w:styleId="997">
    <w:name w:val="Plain Text"/>
    <w:basedOn w:val="969"/>
    <w:link w:val="1043"/>
    <w:uiPriority w:val="0"/>
    <w:qFormat/>
    <w:rPr>
      <w:rFonts w:hint="eastAsia" w:ascii="宋体" w:hAnsi="Courier New"/>
      <w:szCs w:val="20"/>
    </w:rPr>
  </w:style>
  <w:style w:type="paragraph" w:styleId="998">
    <w:name w:val="toc 8"/>
    <w:basedOn w:val="969"/>
    <w:next w:val="969"/>
    <w:uiPriority w:val="0"/>
    <w:qFormat/>
    <w:pPr>
      <w:ind w:left="2940"/>
    </w:pPr>
  </w:style>
  <w:style w:type="paragraph" w:styleId="999">
    <w:name w:val="Date"/>
    <w:basedOn w:val="969"/>
    <w:next w:val="969"/>
    <w:link w:val="1044"/>
    <w:uiPriority w:val="0"/>
    <w:qFormat/>
    <w:pPr>
      <w:ind w:left="100"/>
    </w:pPr>
    <w:rPr>
      <w:rFonts w:ascii="仿宋_GB2312" w:hAnsi="宋体" w:eastAsia="仿宋_GB2312"/>
      <w:color w:val="000000"/>
      <w:sz w:val="24"/>
    </w:rPr>
  </w:style>
  <w:style w:type="paragraph" w:styleId="1000">
    <w:name w:val="Body Text Indent 2"/>
    <w:basedOn w:val="969"/>
    <w:link w:val="1045"/>
    <w:uiPriority w:val="0"/>
    <w:qFormat/>
    <w:pPr>
      <w:ind w:firstLine="480"/>
    </w:pPr>
    <w:rPr>
      <w:rFonts w:ascii="仿宋_GB2312" w:eastAsia="仿宋_GB2312"/>
      <w:sz w:val="24"/>
    </w:rPr>
  </w:style>
  <w:style w:type="paragraph" w:styleId="1001">
    <w:name w:val="Balloon Text"/>
    <w:basedOn w:val="969"/>
    <w:link w:val="1046"/>
    <w:uiPriority w:val="0"/>
    <w:qFormat/>
    <w:rPr>
      <w:sz w:val="18"/>
      <w:szCs w:val="18"/>
    </w:rPr>
  </w:style>
  <w:style w:type="paragraph" w:styleId="1002">
    <w:name w:val="Footer"/>
    <w:basedOn w:val="969"/>
    <w:link w:val="1047"/>
    <w:uiPriority w:val="99"/>
    <w:qFormat/>
    <w:pPr>
      <w:jc w:val="left"/>
      <w:tabs>
        <w:tab w:val="center" w:pos="4153" w:leader="none"/>
        <w:tab w:val="right" w:pos="8306" w:leader="none"/>
      </w:tabs>
    </w:pPr>
    <w:rPr>
      <w:rFonts w:ascii="宋体"/>
      <w:sz w:val="18"/>
      <w:szCs w:val="20"/>
    </w:rPr>
  </w:style>
  <w:style w:type="paragraph" w:styleId="1003">
    <w:name w:val="envelope return"/>
    <w:basedOn w:val="969"/>
    <w:uiPriority w:val="99"/>
    <w:qFormat/>
    <w:rPr>
      <w:rFonts w:ascii="Arial" w:hAnsi="Arial" w:eastAsia="仿宋"/>
      <w:szCs w:val="22"/>
    </w:rPr>
  </w:style>
  <w:style w:type="paragraph" w:styleId="1004">
    <w:name w:val="Header"/>
    <w:basedOn w:val="969"/>
    <w:link w:val="1048"/>
    <w:uiPriority w:val="0"/>
    <w:qFormat/>
    <w:pPr>
      <w:jc w:val="center"/>
      <w:tabs>
        <w:tab w:val="center" w:pos="4153" w:leader="none"/>
        <w:tab w:val="right" w:pos="8306" w:leader="none"/>
      </w:tabs>
      <w:pBdr>
        <w:bottom w:val="single" w:color="auto" w:sz="6" w:space="1"/>
      </w:pBdr>
    </w:pPr>
    <w:rPr>
      <w:sz w:val="18"/>
      <w:szCs w:val="18"/>
    </w:rPr>
  </w:style>
  <w:style w:type="paragraph" w:styleId="1005">
    <w:name w:val="toc 1"/>
    <w:basedOn w:val="969"/>
    <w:next w:val="969"/>
    <w:uiPriority w:val="39"/>
    <w:qFormat/>
    <w:pPr>
      <w:spacing w:line="300" w:lineRule="auto"/>
      <w:tabs>
        <w:tab w:val="left" w:pos="1050" w:leader="none"/>
        <w:tab w:val="right" w:pos="8937" w:leader="dot"/>
      </w:tabs>
    </w:pPr>
    <w:rPr>
      <w:rFonts w:ascii="宋体" w:hAnsi="宋体"/>
      <w:b/>
      <w:sz w:val="24"/>
    </w:rPr>
  </w:style>
  <w:style w:type="paragraph" w:styleId="1006">
    <w:name w:val="toc 4"/>
    <w:basedOn w:val="969"/>
    <w:next w:val="969"/>
    <w:uiPriority w:val="0"/>
    <w:qFormat/>
    <w:pPr>
      <w:ind w:left="1260"/>
    </w:pPr>
  </w:style>
  <w:style w:type="paragraph" w:styleId="1007">
    <w:name w:val="toc 6"/>
    <w:basedOn w:val="969"/>
    <w:next w:val="969"/>
    <w:uiPriority w:val="0"/>
    <w:qFormat/>
    <w:pPr>
      <w:ind w:left="2100"/>
    </w:pPr>
  </w:style>
  <w:style w:type="paragraph" w:styleId="1008">
    <w:name w:val="Body Text Indent 3"/>
    <w:basedOn w:val="969"/>
    <w:link w:val="1049"/>
    <w:uiPriority w:val="0"/>
    <w:qFormat/>
    <w:pPr>
      <w:ind w:left="720" w:firstLine="480"/>
      <w:jc w:val="left"/>
      <w:spacing w:before="120" w:line="22" w:lineRule="atLeast"/>
    </w:pPr>
    <w:rPr>
      <w:rFonts w:ascii="宋体"/>
      <w:sz w:val="24"/>
      <w:szCs w:val="20"/>
    </w:rPr>
  </w:style>
  <w:style w:type="paragraph" w:styleId="1009">
    <w:name w:val="toc 2"/>
    <w:basedOn w:val="969"/>
    <w:next w:val="969"/>
    <w:uiPriority w:val="39"/>
    <w:qFormat/>
    <w:pPr>
      <w:ind w:left="420"/>
      <w:spacing w:line="312" w:lineRule="auto"/>
      <w:tabs>
        <w:tab w:val="right" w:pos="8937" w:leader="dot"/>
      </w:tabs>
    </w:pPr>
  </w:style>
  <w:style w:type="paragraph" w:styleId="1010">
    <w:name w:val="toc 9"/>
    <w:basedOn w:val="969"/>
    <w:next w:val="969"/>
    <w:uiPriority w:val="0"/>
    <w:qFormat/>
    <w:pPr>
      <w:ind w:left="3360"/>
    </w:pPr>
  </w:style>
  <w:style w:type="paragraph" w:styleId="1011">
    <w:name w:val="Body Text 2"/>
    <w:basedOn w:val="969"/>
    <w:uiPriority w:val="0"/>
    <w:qFormat/>
    <w:pPr>
      <w:spacing w:after="120" w:line="480" w:lineRule="auto"/>
    </w:pPr>
  </w:style>
  <w:style w:type="paragraph" w:styleId="1012">
    <w:name w:val="HTML Preformatted"/>
    <w:basedOn w:val="969"/>
    <w:link w:val="105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13">
    <w:name w:val="Normal (Web)"/>
    <w:basedOn w:val="969"/>
    <w:uiPriority w:val="99"/>
    <w:unhideWhenUsed/>
    <w:qFormat/>
    <w:pPr>
      <w:jc w:val="left"/>
      <w:spacing w:before="100" w:beforeAutospacing="1" w:after="100" w:afterAutospacing="1"/>
      <w:widowControl/>
    </w:pPr>
    <w:rPr>
      <w:rFonts w:ascii="宋体" w:hAnsi="宋体" w:cs="宋体"/>
      <w:sz w:val="24"/>
    </w:rPr>
  </w:style>
  <w:style w:type="paragraph" w:styleId="1014">
    <w:name w:val="index 1"/>
    <w:basedOn w:val="969"/>
    <w:next w:val="969"/>
    <w:uiPriority w:val="0"/>
    <w:qFormat/>
    <w:rPr>
      <w:szCs w:val="20"/>
    </w:rPr>
  </w:style>
  <w:style w:type="paragraph" w:styleId="1015">
    <w:name w:val="Title"/>
    <w:basedOn w:val="969"/>
    <w:next w:val="969"/>
    <w:link w:val="1051"/>
    <w:uiPriority w:val="0"/>
    <w:qFormat/>
    <w:pPr>
      <w:jc w:val="center"/>
      <w:outlineLvl w:val="0"/>
    </w:pPr>
    <w:rPr>
      <w:b/>
      <w:sz w:val="32"/>
      <w:szCs w:val="20"/>
    </w:rPr>
  </w:style>
  <w:style w:type="paragraph" w:styleId="1016">
    <w:name w:val="annotation subject"/>
    <w:basedOn w:val="987"/>
    <w:next w:val="987"/>
    <w:link w:val="1052"/>
    <w:uiPriority w:val="0"/>
    <w:qFormat/>
    <w:rPr>
      <w:b/>
      <w:bCs/>
    </w:rPr>
  </w:style>
  <w:style w:type="paragraph" w:styleId="1017">
    <w:name w:val="Body Text First Indent"/>
    <w:basedOn w:val="989"/>
    <w:uiPriority w:val="99"/>
    <w:unhideWhenUsed/>
    <w:qFormat/>
    <w:pPr>
      <w:ind w:firstLine="420"/>
    </w:pPr>
  </w:style>
  <w:style w:type="table" w:styleId="1018">
    <w:name w:val="Table Grid"/>
    <w:basedOn w:val="98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9">
    <w:name w:val="Medium Grid 1 Accent 2"/>
    <w:basedOn w:val="980"/>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left w:w="108" w:type="dxa"/>
        <w:top w:w="0" w:type="dxa"/>
        <w:right w:w="108" w:type="dxa"/>
        <w:bottom w:w="0" w:type="dxa"/>
      </w:tblCellMar>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20">
    <w:name w:val="Strong"/>
    <w:basedOn w:val="979"/>
    <w:uiPriority w:val="0"/>
    <w:qFormat/>
    <w:rPr>
      <w:b/>
      <w:bCs/>
    </w:rPr>
  </w:style>
  <w:style w:type="character" w:styleId="1021">
    <w:name w:val="page number"/>
    <w:uiPriority w:val="0"/>
    <w:qFormat/>
  </w:style>
  <w:style w:type="character" w:styleId="1022">
    <w:name w:val="FollowedHyperlink"/>
    <w:uiPriority w:val="0"/>
    <w:qFormat/>
    <w:rPr>
      <w:color w:val="800080"/>
      <w:u w:val="single"/>
    </w:rPr>
  </w:style>
  <w:style w:type="character" w:styleId="1023">
    <w:name w:val="Emphasis"/>
    <w:uiPriority w:val="0"/>
    <w:qFormat/>
    <w:rPr>
      <w:color w:val="cc0033"/>
    </w:rPr>
  </w:style>
  <w:style w:type="character" w:styleId="1024">
    <w:name w:val="Hyperlink"/>
    <w:uiPriority w:val="99"/>
    <w:qFormat/>
    <w:rPr>
      <w:color w:val="0000ff"/>
      <w:u w:val="single"/>
    </w:rPr>
  </w:style>
  <w:style w:type="character" w:styleId="1025">
    <w:name w:val="annotation reference"/>
    <w:uiPriority w:val="99"/>
    <w:qFormat/>
    <w:rPr>
      <w:sz w:val="21"/>
      <w:szCs w:val="21"/>
    </w:rPr>
  </w:style>
  <w:style w:type="character" w:styleId="1026">
    <w:name w:val="HTML Cite"/>
    <w:uiPriority w:val="0"/>
    <w:qFormat/>
    <w:rPr>
      <w:i/>
      <w:iCs/>
    </w:rPr>
  </w:style>
  <w:style w:type="paragraph" w:styleId="1027" w:customStyle="1">
    <w:name w:val="Default"/>
    <w:uiPriority w:val="0"/>
    <w:qFormat/>
    <w:pPr>
      <w:widowControl w:val="off"/>
    </w:pPr>
    <w:rPr>
      <w:rFonts w:ascii="Symbol" w:hAnsi="Symbol" w:eastAsia="宋体" w:cs="Symbol"/>
      <w:color w:val="000000"/>
      <w:sz w:val="24"/>
      <w:szCs w:val="24"/>
      <w:lang w:val="en-US" w:eastAsia="zh-CN" w:bidi="ar-SA"/>
    </w:rPr>
  </w:style>
  <w:style w:type="character" w:styleId="1028" w:customStyle="1">
    <w:name w:val="标题 1 Char"/>
    <w:link w:val="970"/>
    <w:uiPriority w:val="0"/>
    <w:qFormat/>
    <w:rPr>
      <w:rFonts w:ascii="宋体"/>
      <w:b/>
      <w:sz w:val="32"/>
    </w:rPr>
  </w:style>
  <w:style w:type="character" w:styleId="1029" w:customStyle="1">
    <w:name w:val="标题 2 Char1"/>
    <w:link w:val="971"/>
    <w:uiPriority w:val="0"/>
    <w:qFormat/>
    <w:rPr>
      <w:rFonts w:ascii="Arial" w:hAnsi="Arial" w:eastAsia="黑体"/>
      <w:b/>
      <w:sz w:val="30"/>
      <w:lang w:val="en-US" w:eastAsia="zh-CN" w:bidi="ar-SA"/>
    </w:rPr>
  </w:style>
  <w:style w:type="character" w:styleId="1030" w:customStyle="1">
    <w:name w:val="正文缩进 Char1"/>
    <w:link w:val="982"/>
    <w:uiPriority w:val="0"/>
    <w:qFormat/>
    <w:rPr>
      <w:rFonts w:ascii="宋体" w:eastAsia="宋体"/>
      <w:sz w:val="24"/>
      <w:szCs w:val="24"/>
      <w:lang w:val="en-US" w:eastAsia="zh-CN" w:bidi="ar-SA"/>
    </w:rPr>
  </w:style>
  <w:style w:type="character" w:styleId="1031" w:customStyle="1">
    <w:name w:val="标题 3 Char1"/>
    <w:link w:val="972"/>
    <w:uiPriority w:val="0"/>
    <w:qFormat/>
    <w:rPr>
      <w:rFonts w:ascii="宋体" w:eastAsia="宋体"/>
      <w:b/>
      <w:sz w:val="24"/>
      <w:u w:val="single"/>
      <w:lang w:val="en-US" w:eastAsia="zh-CN" w:bidi="ar-SA"/>
    </w:rPr>
  </w:style>
  <w:style w:type="character" w:styleId="1032" w:customStyle="1">
    <w:name w:val="标题 4 Char"/>
    <w:link w:val="973"/>
    <w:uiPriority w:val="0"/>
    <w:qFormat/>
    <w:rPr>
      <w:rFonts w:ascii="Arial" w:hAnsi="Arial" w:eastAsia="黑体"/>
      <w:b/>
      <w:sz w:val="28"/>
    </w:rPr>
  </w:style>
  <w:style w:type="character" w:styleId="1033" w:customStyle="1">
    <w:name w:val="标题 5 Char"/>
    <w:link w:val="974"/>
    <w:uiPriority w:val="0"/>
    <w:qFormat/>
    <w:rPr>
      <w:b/>
      <w:sz w:val="28"/>
    </w:rPr>
  </w:style>
  <w:style w:type="character" w:styleId="1034" w:customStyle="1">
    <w:name w:val="标题 6 Char"/>
    <w:link w:val="975"/>
    <w:uiPriority w:val="0"/>
    <w:qFormat/>
    <w:rPr>
      <w:rFonts w:ascii="Arial" w:hAnsi="Arial" w:eastAsia="黑体"/>
      <w:b/>
      <w:sz w:val="24"/>
    </w:rPr>
  </w:style>
  <w:style w:type="character" w:styleId="1035" w:customStyle="1">
    <w:name w:val="标题 7 Char"/>
    <w:link w:val="976"/>
    <w:uiPriority w:val="0"/>
    <w:qFormat/>
    <w:rPr>
      <w:b/>
      <w:sz w:val="24"/>
    </w:rPr>
  </w:style>
  <w:style w:type="character" w:styleId="1036" w:customStyle="1">
    <w:name w:val="标题 8 Char"/>
    <w:link w:val="977"/>
    <w:uiPriority w:val="0"/>
    <w:qFormat/>
    <w:rPr>
      <w:rFonts w:ascii="Arial" w:hAnsi="Arial" w:eastAsia="黑体"/>
      <w:sz w:val="24"/>
    </w:rPr>
  </w:style>
  <w:style w:type="character" w:styleId="1037" w:customStyle="1">
    <w:name w:val="标题 9 Char"/>
    <w:link w:val="978"/>
    <w:uiPriority w:val="0"/>
    <w:qFormat/>
    <w:rPr>
      <w:rFonts w:ascii="Arial" w:hAnsi="Arial" w:eastAsia="黑体"/>
      <w:sz w:val="21"/>
    </w:rPr>
  </w:style>
  <w:style w:type="character" w:styleId="1038" w:customStyle="1">
    <w:name w:val="文档结构图 Char"/>
    <w:link w:val="986"/>
    <w:uiPriority w:val="0"/>
    <w:qFormat/>
    <w:rPr>
      <w:sz w:val="21"/>
      <w:szCs w:val="24"/>
      <w:shd w:val="clear" w:color="auto" w:fill="000080"/>
    </w:rPr>
  </w:style>
  <w:style w:type="character" w:styleId="1039" w:customStyle="1">
    <w:name w:val="批注文字 Char1"/>
    <w:link w:val="987"/>
    <w:uiPriority w:val="99"/>
    <w:qFormat/>
    <w:rPr>
      <w:sz w:val="21"/>
      <w:szCs w:val="24"/>
    </w:rPr>
  </w:style>
  <w:style w:type="character" w:styleId="1040" w:customStyle="1">
    <w:name w:val="正文文本 3 Char"/>
    <w:link w:val="988"/>
    <w:uiPriority w:val="0"/>
    <w:qFormat/>
    <w:rPr>
      <w:sz w:val="16"/>
      <w:szCs w:val="16"/>
    </w:rPr>
  </w:style>
  <w:style w:type="character" w:styleId="1041" w:customStyle="1">
    <w:name w:val="正文文本 Char"/>
    <w:link w:val="989"/>
    <w:uiPriority w:val="0"/>
    <w:qFormat/>
    <w:rPr>
      <w:rFonts w:ascii="宋体" w:hAnsi="宋体"/>
      <w:sz w:val="24"/>
      <w:szCs w:val="24"/>
    </w:rPr>
  </w:style>
  <w:style w:type="character" w:styleId="1042" w:customStyle="1">
    <w:name w:val="正文文本缩进 Char2"/>
    <w:link w:val="990"/>
    <w:uiPriority w:val="0"/>
    <w:qFormat/>
    <w:rPr>
      <w:rFonts w:eastAsia="宋体"/>
      <w:sz w:val="24"/>
      <w:szCs w:val="24"/>
      <w:lang w:val="en-US" w:eastAsia="zh-CN" w:bidi="ar-SA"/>
    </w:rPr>
  </w:style>
  <w:style w:type="character" w:styleId="1043" w:customStyle="1">
    <w:name w:val="纯文本 Char"/>
    <w:link w:val="997"/>
    <w:uiPriority w:val="0"/>
    <w:qFormat/>
    <w:rPr>
      <w:rFonts w:hint="eastAsia" w:ascii="宋体" w:hAnsi="Courier New" w:eastAsia="宋体" w:cs="宋体"/>
      <w:sz w:val="21"/>
    </w:rPr>
  </w:style>
  <w:style w:type="character" w:styleId="1044" w:customStyle="1">
    <w:name w:val="日期 Char"/>
    <w:link w:val="999"/>
    <w:uiPriority w:val="0"/>
    <w:qFormat/>
    <w:rPr>
      <w:rFonts w:ascii="仿宋_GB2312" w:hAnsi="宋体" w:eastAsia="仿宋_GB2312"/>
      <w:color w:val="000000"/>
      <w:sz w:val="24"/>
      <w:szCs w:val="24"/>
    </w:rPr>
  </w:style>
  <w:style w:type="character" w:styleId="1045" w:customStyle="1">
    <w:name w:val="正文文本缩进 2 Char"/>
    <w:link w:val="1000"/>
    <w:uiPriority w:val="0"/>
    <w:qFormat/>
    <w:rPr>
      <w:rFonts w:ascii="仿宋_GB2312" w:eastAsia="仿宋_GB2312"/>
      <w:sz w:val="24"/>
      <w:szCs w:val="24"/>
    </w:rPr>
  </w:style>
  <w:style w:type="character" w:styleId="1046" w:customStyle="1">
    <w:name w:val="批注框文本 Char"/>
    <w:link w:val="1001"/>
    <w:uiPriority w:val="0"/>
    <w:qFormat/>
    <w:rPr>
      <w:sz w:val="18"/>
      <w:szCs w:val="18"/>
    </w:rPr>
  </w:style>
  <w:style w:type="character" w:styleId="1047" w:customStyle="1">
    <w:name w:val="页脚 Char1"/>
    <w:link w:val="1002"/>
    <w:uiPriority w:val="99"/>
    <w:qFormat/>
    <w:rPr>
      <w:rFonts w:ascii="宋体" w:eastAsia="宋体"/>
      <w:sz w:val="18"/>
      <w:lang w:val="en-US" w:eastAsia="zh-CN" w:bidi="ar-SA"/>
    </w:rPr>
  </w:style>
  <w:style w:type="character" w:styleId="1048" w:customStyle="1">
    <w:name w:val="页眉 Char1"/>
    <w:link w:val="1004"/>
    <w:uiPriority w:val="0"/>
    <w:qFormat/>
    <w:rPr>
      <w:rFonts w:eastAsia="宋体"/>
      <w:sz w:val="18"/>
      <w:szCs w:val="18"/>
      <w:lang w:val="en-US" w:eastAsia="zh-CN" w:bidi="ar-SA"/>
    </w:rPr>
  </w:style>
  <w:style w:type="character" w:styleId="1049" w:customStyle="1">
    <w:name w:val="正文文本缩进 3 Char"/>
    <w:link w:val="1008"/>
    <w:uiPriority w:val="0"/>
    <w:qFormat/>
    <w:rPr>
      <w:rFonts w:ascii="宋体"/>
      <w:sz w:val="24"/>
    </w:rPr>
  </w:style>
  <w:style w:type="character" w:styleId="1050" w:customStyle="1">
    <w:name w:val="HTML 预设格式 Char"/>
    <w:link w:val="1012"/>
    <w:uiPriority w:val="0"/>
    <w:qFormat/>
    <w:rPr>
      <w:rFonts w:ascii="宋体" w:hAnsi="宋体" w:cs="宋体"/>
      <w:sz w:val="24"/>
      <w:szCs w:val="24"/>
    </w:rPr>
  </w:style>
  <w:style w:type="character" w:styleId="1051" w:customStyle="1">
    <w:name w:val="标题 Char1"/>
    <w:link w:val="1015"/>
    <w:uiPriority w:val="0"/>
    <w:qFormat/>
    <w:rPr>
      <w:b/>
      <w:sz w:val="32"/>
    </w:rPr>
  </w:style>
  <w:style w:type="character" w:styleId="1052" w:customStyle="1">
    <w:name w:val="批注主题 Char"/>
    <w:link w:val="1016"/>
    <w:uiPriority w:val="0"/>
    <w:qFormat/>
    <w:rPr>
      <w:rFonts w:ascii="Times New Roman" w:hAnsi="Times New Roman" w:eastAsia="宋体" w:cs="Times New Roman"/>
      <w:b/>
      <w:bCs/>
      <w:sz w:val="21"/>
      <w:szCs w:val="24"/>
      <w:lang w:val="en-US" w:eastAsia="zh-CN" w:bidi="ar-SA"/>
    </w:rPr>
  </w:style>
  <w:style w:type="character" w:styleId="1053" w:customStyle="1">
    <w:name w:val="正文首行缩进 2 Char"/>
    <w:link w:val="991"/>
    <w:uiPriority w:val="0"/>
    <w:qFormat/>
    <w:rPr>
      <w:rFonts w:eastAsia="宋体"/>
      <w:sz w:val="24"/>
      <w:szCs w:val="24"/>
      <w:lang w:val="en-US" w:eastAsia="zh-CN" w:bidi="ar-SA"/>
    </w:rPr>
  </w:style>
  <w:style w:type="paragraph" w:styleId="1054" w:customStyle="1">
    <w:name w:val="标题 21"/>
    <w:basedOn w:val="969"/>
    <w:next w:val="969"/>
    <w:uiPriority w:val="0"/>
    <w:qFormat/>
    <w:pPr>
      <w:jc w:val="center"/>
      <w:keepLines/>
      <w:keepNext/>
      <w:spacing w:before="120" w:line="300" w:lineRule="auto"/>
      <w:outlineLvl w:val="1"/>
    </w:pPr>
    <w:rPr>
      <w:rFonts w:ascii="Arial" w:hAnsi="Arial" w:eastAsia="黑体"/>
      <w:b/>
      <w:sz w:val="30"/>
      <w:szCs w:val="20"/>
    </w:rPr>
  </w:style>
  <w:style w:type="paragraph" w:styleId="1055" w:customStyle="1">
    <w:name w:val="style4"/>
    <w:basedOn w:val="969"/>
    <w:next w:val="1056"/>
    <w:uiPriority w:val="0"/>
    <w:qFormat/>
    <w:pPr>
      <w:spacing w:before="280" w:after="280"/>
      <w:widowControl/>
    </w:pPr>
    <w:rPr>
      <w:rFonts w:ascii="宋体"/>
      <w:sz w:val="18"/>
    </w:rPr>
  </w:style>
  <w:style w:type="paragraph" w:styleId="1056" w:customStyle="1">
    <w:name w:val="2"/>
    <w:next w:val="969"/>
    <w:uiPriority w:val="99"/>
    <w:qFormat/>
    <w:pPr>
      <w:jc w:val="both"/>
      <w:widowControl w:val="off"/>
    </w:pPr>
    <w:rPr>
      <w:rFonts w:ascii="Times New Roman" w:hAnsi="Times New Roman" w:eastAsia="宋体" w:cs="Times New Roman"/>
      <w:sz w:val="21"/>
      <w:szCs w:val="21"/>
      <w:lang w:val="en-US" w:eastAsia="zh-CN" w:bidi="ar-SA"/>
    </w:rPr>
  </w:style>
  <w:style w:type="character" w:styleId="1057" w:customStyle="1">
    <w:name w:val="普通文字1 Char1"/>
    <w:uiPriority w:val="0"/>
    <w:qFormat/>
    <w:rPr>
      <w:rFonts w:ascii="宋体" w:hAnsi="Courier New" w:eastAsia="宋体"/>
      <w:sz w:val="21"/>
      <w:lang w:val="en-US" w:eastAsia="zh-CN" w:bidi="ar-SA"/>
    </w:rPr>
  </w:style>
  <w:style w:type="character" w:styleId="1058" w:customStyle="1">
    <w:name w:val="正文小标题 Char"/>
    <w:link w:val="1059"/>
    <w:uiPriority w:val="0"/>
    <w:qFormat/>
    <w:rPr>
      <w:rFonts w:ascii="宋体" w:hAnsi="宋体"/>
      <w:b/>
      <w:i/>
      <w:color w:val="ff0000"/>
      <w:sz w:val="24"/>
    </w:rPr>
  </w:style>
  <w:style w:type="paragraph" w:styleId="1059" w:customStyle="1">
    <w:name w:val="正文小标题"/>
    <w:basedOn w:val="969"/>
    <w:next w:val="982"/>
    <w:link w:val="1058"/>
    <w:uiPriority w:val="0"/>
    <w:qFormat/>
    <w:pPr>
      <w:ind w:firstLine="482"/>
      <w:jc w:val="left"/>
      <w:spacing w:before="312" w:after="312"/>
    </w:pPr>
    <w:rPr>
      <w:rFonts w:ascii="宋体" w:hAnsi="宋体"/>
      <w:b/>
      <w:i/>
      <w:color w:val="ff0000"/>
      <w:sz w:val="24"/>
      <w:szCs w:val="20"/>
    </w:rPr>
  </w:style>
  <w:style w:type="character" w:styleId="1060" w:customStyle="1">
    <w:name w:val="标题 2 Char Char"/>
    <w:uiPriority w:val="0"/>
    <w:qFormat/>
    <w:rPr>
      <w:rFonts w:ascii="Arial" w:hAnsi="Arial" w:eastAsia="黑体"/>
      <w:b/>
      <w:bCs/>
      <w:sz w:val="32"/>
      <w:szCs w:val="32"/>
      <w:lang w:val="en-US" w:eastAsia="zh-CN" w:bidi="ar-SA"/>
    </w:rPr>
  </w:style>
  <w:style w:type="character" w:styleId="1061" w:customStyle="1">
    <w:name w:val="txt"/>
    <w:uiPriority w:val="0"/>
    <w:qFormat/>
  </w:style>
  <w:style w:type="character" w:styleId="1062" w:customStyle="1">
    <w:name w:val="批注文字 Char"/>
    <w:uiPriority w:val="99"/>
    <w:qFormat/>
    <w:rPr>
      <w:sz w:val="21"/>
      <w:szCs w:val="24"/>
    </w:rPr>
  </w:style>
  <w:style w:type="character" w:styleId="1063" w:customStyle="1">
    <w:name w:val="正文缩进 Char Char"/>
    <w:link w:val="1064"/>
    <w:uiPriority w:val="0"/>
    <w:qFormat/>
    <w:rPr>
      <w:rFonts w:ascii="宋体" w:eastAsia="宋体"/>
      <w:color w:val="000000"/>
      <w:sz w:val="28"/>
      <w:lang w:bidi="ar-SA"/>
    </w:rPr>
  </w:style>
  <w:style w:type="paragraph" w:styleId="1064" w:customStyle="1">
    <w:name w:val="正文缩进1"/>
    <w:basedOn w:val="969"/>
    <w:link w:val="1063"/>
    <w:uiPriority w:val="0"/>
    <w:qFormat/>
    <w:pPr>
      <w:ind w:firstLine="567"/>
      <w:spacing w:line="480" w:lineRule="exact"/>
      <w:widowControl/>
    </w:pPr>
    <w:rPr>
      <w:rFonts w:ascii="宋体"/>
      <w:color w:val="000000"/>
      <w:sz w:val="28"/>
      <w:szCs w:val="20"/>
    </w:rPr>
  </w:style>
  <w:style w:type="character" w:styleId="1065" w:customStyle="1">
    <w:name w:val="chanpin拷贝"/>
    <w:uiPriority w:val="0"/>
    <w:qFormat/>
  </w:style>
  <w:style w:type="character" w:styleId="1066" w:customStyle="1">
    <w:name w:val="正文文本缩进 Char"/>
    <w:uiPriority w:val="0"/>
    <w:qFormat/>
    <w:rPr>
      <w:rFonts w:eastAsia="宋体"/>
      <w:sz w:val="24"/>
      <w:szCs w:val="24"/>
      <w:lang w:val="en-US" w:eastAsia="zh-CN" w:bidi="ar-SA"/>
    </w:rPr>
  </w:style>
  <w:style w:type="character" w:styleId="1067" w:customStyle="1">
    <w:name w:val="正文格式 Char"/>
    <w:link w:val="1068"/>
    <w:uiPriority w:val="0"/>
    <w:qFormat/>
    <w:rPr>
      <w:rFonts w:ascii="宋体" w:hAnsi="宋体"/>
      <w:sz w:val="24"/>
      <w:szCs w:val="24"/>
      <w:lang w:val="en-GB"/>
    </w:rPr>
  </w:style>
  <w:style w:type="paragraph" w:styleId="1068" w:customStyle="1">
    <w:name w:val="正文格式"/>
    <w:basedOn w:val="969"/>
    <w:link w:val="1067"/>
    <w:uiPriority w:val="0"/>
    <w:qFormat/>
    <w:pPr>
      <w:ind w:firstLine="480"/>
      <w:spacing w:line="360" w:lineRule="auto"/>
    </w:pPr>
    <w:rPr>
      <w:rFonts w:ascii="宋体" w:hAnsi="宋体"/>
      <w:sz w:val="24"/>
      <w:lang w:val="en-GB"/>
    </w:rPr>
  </w:style>
  <w:style w:type="character" w:styleId="1069" w:customStyle="1">
    <w:name w:val="正文文本缩进 Char1"/>
    <w:link w:val="1070"/>
    <w:uiPriority w:val="0"/>
    <w:qFormat/>
    <w:rPr>
      <w:rFonts w:ascii="宋体" w:hAnsi="宋体" w:eastAsia="宋体"/>
      <w:sz w:val="24"/>
      <w:szCs w:val="24"/>
      <w:lang w:bidi="ar-SA"/>
    </w:rPr>
  </w:style>
  <w:style w:type="paragraph" w:styleId="1070" w:customStyle="1">
    <w:name w:val="正文文本缩进1"/>
    <w:basedOn w:val="969"/>
    <w:link w:val="1069"/>
    <w:uiPriority w:val="0"/>
    <w:qFormat/>
    <w:pPr>
      <w:ind w:firstLine="480"/>
      <w:spacing w:line="480" w:lineRule="exact"/>
    </w:pPr>
    <w:rPr>
      <w:rFonts w:ascii="宋体" w:hAnsi="宋体"/>
      <w:sz w:val="24"/>
    </w:rPr>
  </w:style>
  <w:style w:type="character" w:styleId="1071" w:customStyle="1">
    <w:name w:val="标题 2 Char"/>
    <w:uiPriority w:val="0"/>
    <w:qFormat/>
    <w:rPr>
      <w:rFonts w:ascii="Arial" w:hAnsi="Arial" w:eastAsia="黑体"/>
      <w:b/>
      <w:sz w:val="30"/>
      <w:lang w:val="en-US" w:eastAsia="zh-CN" w:bidi="ar-SA"/>
    </w:rPr>
  </w:style>
  <w:style w:type="character" w:styleId="1072" w:customStyle="1">
    <w:name w:val="注释 Char"/>
    <w:link w:val="1073"/>
    <w:uiPriority w:val="0"/>
    <w:qFormat/>
    <w:rPr>
      <w:rFonts w:ascii="宋体" w:hAnsi="宋体"/>
      <w:sz w:val="21"/>
      <w:szCs w:val="21"/>
    </w:rPr>
  </w:style>
  <w:style w:type="paragraph" w:styleId="1073" w:customStyle="1">
    <w:name w:val="注释"/>
    <w:basedOn w:val="969"/>
    <w:link w:val="1072"/>
    <w:uiPriority w:val="0"/>
    <w:qFormat/>
    <w:pPr>
      <w:ind w:left="420" w:hanging="420"/>
      <w:jc w:val="left"/>
    </w:pPr>
    <w:rPr>
      <w:rFonts w:ascii="宋体" w:hAnsi="宋体"/>
      <w:szCs w:val="21"/>
    </w:rPr>
  </w:style>
  <w:style w:type="character" w:styleId="1074" w:customStyle="1">
    <w:name w:val="black1"/>
    <w:uiPriority w:val="0"/>
    <w:qFormat/>
    <w:rPr>
      <w:color w:val="000000"/>
    </w:rPr>
  </w:style>
  <w:style w:type="character" w:styleId="1075" w:customStyle="1">
    <w:name w:val="font01"/>
    <w:basedOn w:val="979"/>
    <w:uiPriority w:val="0"/>
    <w:qFormat/>
    <w:rPr>
      <w:rFonts w:hint="eastAsia" w:ascii="宋体" w:hAnsi="宋体" w:eastAsia="宋体" w:cs="宋体"/>
      <w:color w:val="000000"/>
      <w:sz w:val="21"/>
      <w:szCs w:val="21"/>
      <w:u w:val="none"/>
    </w:rPr>
  </w:style>
  <w:style w:type="character" w:styleId="1076" w:customStyle="1">
    <w:name w:val="段1 Char"/>
    <w:uiPriority w:val="0"/>
    <w:qFormat/>
    <w:rPr>
      <w:rFonts w:ascii="宋体" w:eastAsia="宋体"/>
      <w:sz w:val="24"/>
      <w:lang w:val="en-US" w:eastAsia="zh-CN" w:bidi="ar-SA"/>
    </w:rPr>
  </w:style>
  <w:style w:type="character" w:styleId="1077" w:customStyle="1">
    <w:name w:val="font31"/>
    <w:basedOn w:val="979"/>
    <w:uiPriority w:val="0"/>
    <w:qFormat/>
    <w:rPr>
      <w:rFonts w:hint="default" w:ascii="Times New Roman" w:hAnsi="Times New Roman" w:cs="Times New Roman"/>
      <w:color w:val="000000"/>
      <w:sz w:val="24"/>
      <w:szCs w:val="24"/>
      <w:u w:val="none"/>
    </w:rPr>
  </w:style>
  <w:style w:type="character" w:styleId="1078" w:customStyle="1">
    <w:name w:val="color:#000000"/>
    <w:basedOn w:val="979"/>
    <w:uiPriority w:val="0"/>
    <w:qFormat/>
  </w:style>
  <w:style w:type="character" w:styleId="1079" w:customStyle="1">
    <w:name w:val="bjh-p"/>
    <w:uiPriority w:val="0"/>
    <w:qFormat/>
  </w:style>
  <w:style w:type="character" w:styleId="1080" w:customStyle="1">
    <w:name w:val="font131"/>
    <w:basedOn w:val="979"/>
    <w:uiPriority w:val="0"/>
    <w:qFormat/>
    <w:rPr>
      <w:rFonts w:ascii="Symbol" w:hAnsi="Symbol" w:cs="Symbol"/>
      <w:color w:val="000000"/>
      <w:sz w:val="18"/>
      <w:szCs w:val="18"/>
      <w:u w:val="none"/>
    </w:rPr>
  </w:style>
  <w:style w:type="character" w:styleId="1081" w:customStyle="1">
    <w:name w:val="正文重点 Char"/>
    <w:link w:val="1082"/>
    <w:uiPriority w:val="0"/>
    <w:qFormat/>
    <w:rPr>
      <w:b/>
      <w:sz w:val="24"/>
    </w:rPr>
  </w:style>
  <w:style w:type="paragraph" w:styleId="1082" w:customStyle="1">
    <w:name w:val="正文重点"/>
    <w:basedOn w:val="969"/>
    <w:link w:val="1081"/>
    <w:uiPriority w:val="0"/>
    <w:qFormat/>
    <w:pPr>
      <w:ind w:firstLine="482"/>
      <w:jc w:val="left"/>
      <w:spacing w:line="360" w:lineRule="auto"/>
    </w:pPr>
    <w:rPr>
      <w:b/>
      <w:sz w:val="24"/>
      <w:szCs w:val="20"/>
    </w:rPr>
  </w:style>
  <w:style w:type="character" w:styleId="1083" w:customStyle="1">
    <w:name w:val="标题 3 Char Char"/>
    <w:uiPriority w:val="0"/>
    <w:qFormat/>
    <w:rPr>
      <w:rFonts w:eastAsia="宋体"/>
      <w:b/>
      <w:bCs/>
      <w:sz w:val="32"/>
      <w:szCs w:val="32"/>
      <w:lang w:val="en-US" w:eastAsia="zh-CN" w:bidi="ar-SA"/>
    </w:rPr>
  </w:style>
  <w:style w:type="character" w:styleId="1084" w:customStyle="1">
    <w:name w:val="NormalCharacter"/>
    <w:uiPriority w:val="0"/>
    <w:semiHidden/>
    <w:qFormat/>
  </w:style>
  <w:style w:type="character" w:styleId="1085" w:customStyle="1">
    <w:name w:val="font141"/>
    <w:basedOn w:val="979"/>
    <w:uiPriority w:val="0"/>
    <w:qFormat/>
    <w:rPr>
      <w:rFonts w:hint="eastAsia" w:ascii="微软雅黑" w:hAnsi="微软雅黑" w:eastAsia="微软雅黑" w:cs="微软雅黑"/>
      <w:color w:val="000000"/>
      <w:sz w:val="18"/>
      <w:szCs w:val="18"/>
      <w:u w:val="none"/>
    </w:rPr>
  </w:style>
  <w:style w:type="character" w:styleId="1086" w:customStyle="1">
    <w:name w:val="成文日期 Char"/>
    <w:link w:val="1087"/>
    <w:uiPriority w:val="0"/>
    <w:qFormat/>
    <w:rPr>
      <w:rFonts w:ascii="仿宋_GB2312" w:eastAsia="仿宋_GB2312"/>
      <w:sz w:val="32"/>
    </w:rPr>
  </w:style>
  <w:style w:type="paragraph" w:styleId="1087" w:customStyle="1">
    <w:name w:val="成文日期"/>
    <w:basedOn w:val="969"/>
    <w:link w:val="1086"/>
    <w:uiPriority w:val="0"/>
    <w:qFormat/>
    <w:pPr>
      <w:ind w:right="400" w:firstLine="200"/>
      <w:jc w:val="right"/>
      <w:spacing w:line="570" w:lineRule="exact"/>
    </w:pPr>
    <w:rPr>
      <w:rFonts w:ascii="仿宋_GB2312" w:eastAsia="仿宋_GB2312"/>
      <w:sz w:val="32"/>
      <w:szCs w:val="20"/>
    </w:rPr>
  </w:style>
  <w:style w:type="character" w:styleId="1088" w:customStyle="1">
    <w:name w:val="font71"/>
    <w:basedOn w:val="979"/>
    <w:uiPriority w:val="0"/>
    <w:qFormat/>
    <w:rPr>
      <w:rFonts w:hint="eastAsia" w:ascii="宋体" w:hAnsi="宋体" w:eastAsia="宋体" w:cs="宋体"/>
      <w:color w:val="ff0000"/>
      <w:sz w:val="24"/>
      <w:szCs w:val="24"/>
      <w:u w:val="none"/>
    </w:rPr>
  </w:style>
  <w:style w:type="character" w:styleId="1089" w:customStyle="1">
    <w:name w:val="页眉 Char"/>
    <w:uiPriority w:val="0"/>
    <w:qFormat/>
    <w:rPr>
      <w:rFonts w:eastAsia="宋体"/>
      <w:sz w:val="18"/>
      <w:szCs w:val="18"/>
      <w:lang w:val="en-US" w:eastAsia="zh-CN" w:bidi="ar-SA"/>
    </w:rPr>
  </w:style>
  <w:style w:type="character" w:styleId="1090" w:customStyle="1">
    <w:name w:val="title4"/>
    <w:uiPriority w:val="0"/>
    <w:qFormat/>
    <w:rPr>
      <w:b/>
      <w:bCs/>
      <w:color w:val="1d87b3"/>
      <w:sz w:val="15"/>
      <w:szCs w:val="15"/>
    </w:rPr>
  </w:style>
  <w:style w:type="character" w:styleId="1091" w:customStyle="1">
    <w:name w:val="font51"/>
    <w:uiPriority w:val="99"/>
    <w:qFormat/>
    <w:rPr>
      <w:rFonts w:ascii="Times New Roman" w:hAnsi="Times New Roman" w:cs="Times New Roman"/>
      <w:color w:val="000000"/>
      <w:sz w:val="22"/>
      <w:szCs w:val="22"/>
      <w:u w:val="none"/>
    </w:rPr>
  </w:style>
  <w:style w:type="character" w:styleId="1092" w:customStyle="1">
    <w:name w:val="street-address"/>
    <w:uiPriority w:val="0"/>
    <w:qFormat/>
  </w:style>
  <w:style w:type="character" w:styleId="1093" w:customStyle="1">
    <w:name w:val="正文大标题 Char"/>
    <w:link w:val="1094"/>
    <w:uiPriority w:val="0"/>
    <w:qFormat/>
    <w:rPr>
      <w:rFonts w:ascii="宋体" w:hAnsi="宋体"/>
      <w:b/>
      <w:color w:val="000000"/>
      <w:sz w:val="28"/>
      <w:szCs w:val="21"/>
    </w:rPr>
  </w:style>
  <w:style w:type="paragraph" w:styleId="1094" w:customStyle="1">
    <w:name w:val="正文大标题"/>
    <w:basedOn w:val="1059"/>
    <w:next w:val="982"/>
    <w:link w:val="1093"/>
    <w:uiPriority w:val="0"/>
    <w:qFormat/>
    <w:pPr>
      <w:jc w:val="center"/>
    </w:pPr>
    <w:rPr>
      <w:i w:val="0"/>
      <w:color w:val="000000"/>
      <w:sz w:val="28"/>
      <w:szCs w:val="21"/>
    </w:rPr>
  </w:style>
  <w:style w:type="character" w:styleId="1095" w:customStyle="1">
    <w:name w:val="正文缩进 Char"/>
    <w:uiPriority w:val="0"/>
    <w:qFormat/>
    <w:rPr>
      <w:rFonts w:ascii="宋体" w:eastAsia="宋体"/>
      <w:sz w:val="24"/>
      <w:szCs w:val="24"/>
      <w:lang w:val="en-US" w:eastAsia="zh-CN" w:bidi="ar-SA"/>
    </w:rPr>
  </w:style>
  <w:style w:type="character" w:styleId="1096" w:customStyle="1">
    <w:name w:val="font61"/>
    <w:basedOn w:val="979"/>
    <w:uiPriority w:val="0"/>
    <w:qFormat/>
    <w:rPr>
      <w:rFonts w:hint="default" w:ascii="Times New Roman" w:hAnsi="Times New Roman" w:cs="Times New Roman"/>
      <w:b/>
      <w:bCs/>
      <w:color w:val="000000"/>
      <w:sz w:val="28"/>
      <w:szCs w:val="28"/>
      <w:u w:val="none"/>
    </w:rPr>
  </w:style>
  <w:style w:type="character" w:styleId="1097" w:customStyle="1">
    <w:name w:val="纯文本 字符"/>
    <w:uiPriority w:val="99"/>
    <w:qFormat/>
    <w:rPr>
      <w:rFonts w:ascii="宋体" w:hAnsi="Courier New" w:eastAsia="宋体" w:cs="Times New Roman"/>
      <w:sz w:val="21"/>
      <w:szCs w:val="21"/>
      <w:lang w:val="en-US" w:eastAsia="zh-CN" w:bidi="ar-SA"/>
    </w:rPr>
  </w:style>
  <w:style w:type="character" w:styleId="1098" w:customStyle="1">
    <w:name w:val="Char Char11"/>
    <w:uiPriority w:val="0"/>
    <w:qFormat/>
    <w:rPr>
      <w:rFonts w:ascii="宋体" w:eastAsia="宋体"/>
      <w:b/>
      <w:sz w:val="24"/>
      <w:u w:val="single"/>
      <w:lang w:val="en-US" w:eastAsia="zh-CN" w:bidi="ar-SA"/>
    </w:rPr>
  </w:style>
  <w:style w:type="character" w:styleId="1099" w:customStyle="1">
    <w:name w:val="c21"/>
    <w:uiPriority w:val="0"/>
    <w:qFormat/>
    <w:rPr>
      <w:rFonts w:hint="default" w:ascii="ˎ̥" w:hAnsi="ˎ̥"/>
      <w:color w:val="000000"/>
      <w:sz w:val="20"/>
      <w:szCs w:val="20"/>
      <w:u w:val="none"/>
    </w:rPr>
  </w:style>
  <w:style w:type="character" w:styleId="1100" w:customStyle="1">
    <w:name w:val="标题 Char"/>
    <w:uiPriority w:val="0"/>
    <w:qFormat/>
    <w:rPr>
      <w:b/>
      <w:sz w:val="32"/>
    </w:rPr>
  </w:style>
  <w:style w:type="character" w:styleId="1101" w:customStyle="1">
    <w:name w:val="纯文本 Char1"/>
    <w:uiPriority w:val="0"/>
    <w:qFormat/>
    <w:rPr>
      <w:rFonts w:ascii="宋体" w:hAnsi="Courier New" w:eastAsia="宋体"/>
      <w:sz w:val="21"/>
      <w:lang w:val="en-US" w:eastAsia="zh-CN" w:bidi="ar-SA"/>
    </w:rPr>
  </w:style>
  <w:style w:type="character" w:styleId="1102" w:customStyle="1">
    <w:name w:val="正文表格 Char"/>
    <w:link w:val="1103"/>
    <w:uiPriority w:val="0"/>
    <w:qFormat/>
    <w:rPr>
      <w:rFonts w:ascii="宋体" w:hAnsi="宋体"/>
      <w:color w:val="000000"/>
      <w:sz w:val="21"/>
      <w:szCs w:val="21"/>
    </w:rPr>
  </w:style>
  <w:style w:type="paragraph" w:styleId="1103" w:customStyle="1">
    <w:name w:val="正文表格"/>
    <w:basedOn w:val="969"/>
    <w:link w:val="1102"/>
    <w:uiPriority w:val="0"/>
    <w:qFormat/>
    <w:pPr>
      <w:jc w:val="left"/>
    </w:pPr>
    <w:rPr>
      <w:rFonts w:ascii="宋体" w:hAnsi="宋体"/>
      <w:color w:val="000000"/>
      <w:szCs w:val="21"/>
    </w:rPr>
  </w:style>
  <w:style w:type="character" w:styleId="1104" w:customStyle="1">
    <w:name w:val="批注文字 字符"/>
    <w:uiPriority w:val="99"/>
    <w:qFormat/>
    <w:rPr>
      <w:rFonts w:ascii="Times New Roman" w:hAnsi="Times New Roman" w:eastAsia="宋体" w:cs="Times New Roman"/>
      <w:sz w:val="24"/>
      <w:lang w:val="en-US" w:eastAsia="zh-CN" w:bidi="ar-SA"/>
    </w:rPr>
  </w:style>
  <w:style w:type="character" w:styleId="1105" w:customStyle="1">
    <w:name w:val="列出段落 Char1"/>
    <w:link w:val="1106"/>
    <w:uiPriority w:val="34"/>
    <w:qFormat/>
    <w:rPr>
      <w:rFonts w:ascii="Calibri" w:hAnsi="Calibri" w:eastAsia="宋体"/>
      <w:sz w:val="21"/>
      <w:szCs w:val="22"/>
      <w:lang w:val="en-US" w:eastAsia="zh-CN" w:bidi="ar-SA"/>
    </w:rPr>
  </w:style>
  <w:style w:type="paragraph" w:styleId="1106">
    <w:name w:val="List Paragraph"/>
    <w:basedOn w:val="969"/>
    <w:link w:val="1105"/>
    <w:uiPriority w:val="34"/>
    <w:qFormat/>
    <w:pPr>
      <w:ind w:firstLine="420"/>
    </w:pPr>
    <w:rPr>
      <w:rFonts w:ascii="Calibri" w:hAnsi="Calibri"/>
      <w:szCs w:val="22"/>
    </w:rPr>
  </w:style>
  <w:style w:type="character" w:styleId="1107" w:customStyle="1">
    <w:name w:val="apple-style-span"/>
    <w:uiPriority w:val="0"/>
    <w:qFormat/>
    <w:rPr>
      <w:rFonts w:cs="Times New Roman"/>
    </w:rPr>
  </w:style>
  <w:style w:type="character" w:styleId="1108" w:customStyle="1">
    <w:name w:val="列出段落 Char"/>
    <w:uiPriority w:val="0"/>
    <w:qFormat/>
    <w:rPr>
      <w:rFonts w:ascii="Calibri" w:hAnsi="Calibri" w:eastAsia="宋体"/>
      <w:sz w:val="21"/>
      <w:szCs w:val="22"/>
      <w:lang w:val="en-US" w:eastAsia="zh-CN" w:bidi="ar-SA"/>
    </w:rPr>
  </w:style>
  <w:style w:type="character" w:styleId="1109" w:customStyle="1">
    <w:name w:val="Char Char111"/>
    <w:uiPriority w:val="0"/>
    <w:qFormat/>
    <w:rPr>
      <w:rFonts w:ascii="宋体" w:eastAsia="宋体"/>
      <w:b/>
      <w:sz w:val="24"/>
      <w:u w:val="single"/>
      <w:lang w:val="en-US" w:eastAsia="zh-CN" w:bidi="ar-SA"/>
    </w:rPr>
  </w:style>
  <w:style w:type="character" w:styleId="1110" w:customStyle="1">
    <w:name w:val="纯文本 字符1"/>
    <w:uiPriority w:val="0"/>
    <w:qFormat/>
    <w:rPr>
      <w:rFonts w:ascii="宋体" w:hAnsi="Courier New"/>
    </w:rPr>
  </w:style>
  <w:style w:type="character" w:styleId="1111" w:customStyle="1">
    <w:name w:val="chanpin1"/>
    <w:uiPriority w:val="0"/>
    <w:qFormat/>
    <w:rPr>
      <w:rFonts w:hint="default" w:ascii="ˎ̥" w:hAnsi="ˎ̥"/>
      <w:color w:val="000000"/>
      <w:sz w:val="20"/>
      <w:szCs w:val="20"/>
      <w:u w:val="none"/>
    </w:rPr>
  </w:style>
  <w:style w:type="character" w:styleId="1112" w:customStyle="1">
    <w:name w:val="locality"/>
    <w:uiPriority w:val="0"/>
    <w:qFormat/>
  </w:style>
  <w:style w:type="character" w:styleId="1113" w:customStyle="1">
    <w:name w:val="标题 3 Char"/>
    <w:uiPriority w:val="0"/>
    <w:qFormat/>
    <w:rPr>
      <w:rFonts w:ascii="宋体" w:eastAsia="宋体"/>
      <w:b/>
      <w:sz w:val="24"/>
      <w:u w:val="single"/>
      <w:lang w:val="en-US" w:eastAsia="zh-CN" w:bidi="ar-SA"/>
    </w:rPr>
  </w:style>
  <w:style w:type="character" w:styleId="1114" w:customStyle="1">
    <w:name w:val="页脚 Char"/>
    <w:uiPriority w:val="0"/>
    <w:qFormat/>
    <w:rPr>
      <w:rFonts w:ascii="宋体" w:eastAsia="宋体"/>
      <w:sz w:val="18"/>
      <w:lang w:val="en-US" w:eastAsia="zh-CN" w:bidi="ar-SA"/>
    </w:rPr>
  </w:style>
  <w:style w:type="character" w:styleId="1115" w:customStyle="1">
    <w:name w:val="中等深浅网格 1 - 强调文字颜色 2 Char"/>
    <w:link w:val="1116"/>
    <w:uiPriority w:val="0"/>
    <w:qFormat/>
    <w:rPr>
      <w:sz w:val="21"/>
      <w:szCs w:val="24"/>
      <w:lang w:val="zh-CN" w:eastAsia="zh-CN" w:bidi="ar-SA"/>
    </w:rPr>
  </w:style>
  <w:style w:type="paragraph" w:styleId="1116" w:customStyle="1">
    <w:name w:val="1"/>
    <w:link w:val="1115"/>
    <w:uiPriority w:val="0"/>
    <w:qFormat/>
    <w:rPr>
      <w:rFonts w:ascii="Times New Roman" w:hAnsi="Times New Roman" w:eastAsia="宋体" w:cs="Times New Roman"/>
      <w:sz w:val="21"/>
      <w:szCs w:val="24"/>
      <w:lang w:val="zh-CN" w:eastAsia="zh-CN" w:bidi="ar-SA"/>
    </w:rPr>
  </w:style>
  <w:style w:type="paragraph" w:styleId="1117" w:customStyle="1">
    <w:name w:val="xl31"/>
    <w:basedOn w:val="96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18" w:customStyle="1">
    <w:name w:val="xl36"/>
    <w:basedOn w:val="969"/>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9" w:customStyle="1">
    <w:name w:val="四级条标题"/>
    <w:basedOn w:val="1120"/>
    <w:next w:val="969"/>
    <w:uiPriority w:val="0"/>
    <w:qFormat/>
    <w:pPr>
      <w:numPr>
        <w:ilvl w:val="4"/>
      </w:numPr>
      <w:ind w:left="0" w:hanging="840"/>
      <w:tabs>
        <w:tab w:val="left" w:pos="360" w:leader="none"/>
        <w:tab w:val="left" w:pos="840" w:leader="none"/>
      </w:tabs>
      <w:outlineLvl w:val="4"/>
    </w:pPr>
  </w:style>
  <w:style w:type="paragraph" w:styleId="1120" w:customStyle="1">
    <w:name w:val="三级条标题"/>
    <w:basedOn w:val="1121"/>
    <w:next w:val="969"/>
    <w:uiPriority w:val="0"/>
    <w:qFormat/>
    <w:pPr>
      <w:numPr>
        <w:ilvl w:val="3"/>
        <w:numId w:val="1"/>
      </w:numPr>
      <w:ind w:left="0" w:hanging="840"/>
      <w:tabs>
        <w:tab w:val="left" w:pos="360" w:leader="none"/>
        <w:tab w:val="left" w:pos="840" w:leader="none"/>
      </w:tabs>
      <w:outlineLvl w:val="3"/>
    </w:pPr>
  </w:style>
  <w:style w:type="paragraph" w:styleId="1121" w:customStyle="1">
    <w:name w:val="二级条标题"/>
    <w:basedOn w:val="1122"/>
    <w:next w:val="969"/>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22" w:customStyle="1">
    <w:name w:val="一级条标题"/>
    <w:basedOn w:val="1123"/>
    <w:next w:val="969"/>
    <w:uiPriority w:val="0"/>
    <w:qFormat/>
    <w:pPr>
      <w:numPr>
        <w:ilvl w:val="1"/>
      </w:numPr>
      <w:ind w:left="0" w:hanging="840"/>
      <w:tabs>
        <w:tab w:val="left" w:pos="360" w:leader="none"/>
        <w:tab w:val="left" w:pos="840" w:leader="none"/>
      </w:tabs>
      <w:outlineLvl w:val="1"/>
    </w:pPr>
  </w:style>
  <w:style w:type="paragraph" w:styleId="1123" w:customStyle="1">
    <w:name w:val="章标题"/>
    <w:next w:val="969"/>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24" w:customStyle="1">
    <w:name w:val="xl48"/>
    <w:basedOn w:val="9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25" w:customStyle="1">
    <w:name w:val="正文 + 楷体_GB2312"/>
    <w:basedOn w:val="969"/>
    <w:uiPriority w:val="0"/>
    <w:qFormat/>
    <w:pPr>
      <w:jc w:val="left"/>
      <w:widowControl/>
    </w:pPr>
    <w:rPr>
      <w:rFonts w:ascii="楷体_GB2312" w:eastAsia="楷体_GB2312" w:cs="Arial"/>
      <w:sz w:val="24"/>
    </w:rPr>
  </w:style>
  <w:style w:type="paragraph" w:styleId="1126" w:customStyle="1">
    <w:name w:val="Char Char Char1 Char2"/>
    <w:basedOn w:val="969"/>
    <w:uiPriority w:val="0"/>
    <w:qFormat/>
    <w:rPr>
      <w:rFonts w:ascii="Tahoma" w:hAnsi="Tahoma"/>
      <w:sz w:val="24"/>
      <w:szCs w:val="20"/>
    </w:rPr>
  </w:style>
  <w:style w:type="paragraph" w:styleId="1127" w:customStyle="1">
    <w:name w:val="Char22"/>
    <w:basedOn w:val="969"/>
    <w:uiPriority w:val="0"/>
    <w:qFormat/>
    <w:rPr>
      <w:rFonts w:ascii="Tahoma" w:hAnsi="Tahoma"/>
      <w:sz w:val="24"/>
      <w:szCs w:val="20"/>
    </w:rPr>
  </w:style>
  <w:style w:type="paragraph" w:styleId="1128" w:customStyle="1">
    <w:name w:val="表格1"/>
    <w:basedOn w:val="969"/>
    <w:uiPriority w:val="0"/>
    <w:qFormat/>
    <w:pPr>
      <w:ind w:firstLine="480"/>
      <w:jc w:val="center"/>
    </w:pPr>
    <w:rPr>
      <w:sz w:val="24"/>
      <w:szCs w:val="20"/>
    </w:rPr>
  </w:style>
  <w:style w:type="paragraph" w:styleId="1129" w:customStyle="1">
    <w:name w:val="项目编号2"/>
    <w:basedOn w:val="1130"/>
    <w:uiPriority w:val="0"/>
    <w:qFormat/>
    <w:pPr>
      <w:numPr>
        <w:numId w:val="2"/>
      </w:numPr>
    </w:pPr>
  </w:style>
  <w:style w:type="paragraph" w:styleId="1130" w:customStyle="1">
    <w:name w:val="项目编号1"/>
    <w:basedOn w:val="969"/>
    <w:uiPriority w:val="0"/>
    <w:qFormat/>
    <w:pPr>
      <w:numPr>
        <w:ilvl w:val="0"/>
        <w:numId w:val="3"/>
      </w:numPr>
      <w:spacing w:before="100" w:beforeAutospacing="1" w:after="100" w:afterAutospacing="1" w:line="360" w:lineRule="auto"/>
    </w:pPr>
    <w:rPr>
      <w:sz w:val="24"/>
    </w:rPr>
  </w:style>
  <w:style w:type="paragraph" w:styleId="1131" w:customStyle="1">
    <w:name w:val="List Paragraph1"/>
    <w:basedOn w:val="969"/>
    <w:uiPriority w:val="0"/>
    <w:qFormat/>
    <w:pPr>
      <w:ind w:firstLine="420"/>
    </w:pPr>
    <w:rPr>
      <w:rFonts w:ascii="Calibri" w:hAnsi="Calibri"/>
      <w:szCs w:val="22"/>
    </w:rPr>
  </w:style>
  <w:style w:type="paragraph" w:styleId="1132" w:customStyle="1">
    <w:name w:val="xl30"/>
    <w:basedOn w:val="9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33" w:customStyle="1">
    <w:name w:val="正文列项_字母"/>
    <w:basedOn w:val="969"/>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34" w:customStyle="1">
    <w:name w:val="Char Char1 Char Char Char Char Char Char"/>
    <w:basedOn w:val="969"/>
    <w:uiPriority w:val="0"/>
    <w:qFormat/>
    <w:pPr>
      <w:jc w:val="left"/>
      <w:spacing w:after="160" w:line="240" w:lineRule="exact"/>
      <w:widowControl/>
    </w:pPr>
    <w:rPr>
      <w:rFonts w:ascii="Verdana" w:hAnsi="Verdana" w:eastAsia="仿宋_GB2312"/>
      <w:sz w:val="24"/>
      <w:szCs w:val="20"/>
      <w:lang w:eastAsia="en-US"/>
    </w:rPr>
  </w:style>
  <w:style w:type="paragraph" w:styleId="1135" w:customStyle="1">
    <w:name w:val="正文2"/>
    <w:basedOn w:val="969"/>
    <w:uiPriority w:val="0"/>
    <w:qFormat/>
    <w:pPr>
      <w:ind w:firstLine="560"/>
      <w:spacing w:line="360" w:lineRule="auto"/>
      <w:widowControl/>
    </w:pPr>
    <w:rPr>
      <w:rFonts w:ascii="仿宋" w:hAnsi="仿宋" w:eastAsia="仿宋" w:cs="方正小标宋_GBK"/>
      <w:sz w:val="28"/>
      <w:szCs w:val="28"/>
    </w:rPr>
  </w:style>
  <w:style w:type="paragraph" w:styleId="1136" w:customStyle="1">
    <w:name w:val="Char Char Char1"/>
    <w:basedOn w:val="969"/>
    <w:uiPriority w:val="0"/>
    <w:qFormat/>
    <w:rPr>
      <w:rFonts w:ascii="Tahoma" w:hAnsi="Tahoma"/>
      <w:sz w:val="24"/>
      <w:szCs w:val="20"/>
    </w:rPr>
  </w:style>
  <w:style w:type="paragraph" w:styleId="1137" w:customStyle="1">
    <w:name w:val="xl32"/>
    <w:basedOn w:val="96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38" w:customStyle="1">
    <w:name w:val="Char Char Char1 Char1"/>
    <w:basedOn w:val="969"/>
    <w:uiPriority w:val="0"/>
    <w:qFormat/>
    <w:rPr>
      <w:rFonts w:ascii="Tahoma" w:hAnsi="Tahoma"/>
      <w:sz w:val="24"/>
      <w:szCs w:val="20"/>
    </w:rPr>
  </w:style>
  <w:style w:type="paragraph" w:styleId="1139" w:customStyle="1">
    <w:name w:val="Char2"/>
    <w:basedOn w:val="969"/>
    <w:uiPriority w:val="0"/>
    <w:qFormat/>
    <w:rPr>
      <w:rFonts w:ascii="Tahoma" w:hAnsi="Tahoma"/>
      <w:sz w:val="24"/>
      <w:szCs w:val="20"/>
    </w:rPr>
  </w:style>
  <w:style w:type="paragraph" w:styleId="1140" w:customStyle="1">
    <w:name w:val="项目编号3"/>
    <w:basedOn w:val="1141"/>
    <w:uiPriority w:val="0"/>
    <w:qFormat/>
    <w:pPr>
      <w:numPr>
        <w:ilvl w:val="0"/>
        <w:numId w:val="4"/>
      </w:numPr>
    </w:pPr>
  </w:style>
  <w:style w:type="paragraph" w:styleId="1141" w:customStyle="1">
    <w:name w:val="正文文本样式"/>
    <w:basedOn w:val="969"/>
    <w:uiPriority w:val="0"/>
    <w:qFormat/>
    <w:pPr>
      <w:ind w:firstLine="482"/>
      <w:spacing w:line="360" w:lineRule="auto"/>
    </w:pPr>
    <w:rPr>
      <w:rFonts w:cs="宋体"/>
      <w:sz w:val="24"/>
      <w:szCs w:val="20"/>
    </w:rPr>
  </w:style>
  <w:style w:type="paragraph" w:styleId="1142" w:customStyle="1">
    <w:name w:val="Char Char Char Char Char Char Char Char Char Char Char Char Char Char Char Char"/>
    <w:basedOn w:val="969"/>
    <w:uiPriority w:val="0"/>
    <w:qFormat/>
    <w:pPr>
      <w:jc w:val="center"/>
      <w:spacing w:after="160" w:line="240" w:lineRule="exact"/>
      <w:widowControl/>
    </w:pPr>
    <w:rPr>
      <w:rFonts w:ascii="宋体" w:hAnsi="宋体"/>
      <w:b/>
      <w:sz w:val="30"/>
      <w:szCs w:val="30"/>
      <w:lang w:eastAsia="en-US"/>
    </w:rPr>
  </w:style>
  <w:style w:type="paragraph" w:styleId="1143" w:customStyle="1">
    <w:name w:val="Char Char Char Char Char Char Char Char Char Char Char Char Char Char Char Char1"/>
    <w:basedOn w:val="969"/>
    <w:uiPriority w:val="0"/>
    <w:qFormat/>
    <w:pPr>
      <w:jc w:val="center"/>
      <w:spacing w:after="160" w:line="240" w:lineRule="exact"/>
      <w:widowControl/>
    </w:pPr>
    <w:rPr>
      <w:rFonts w:ascii="宋体" w:hAnsi="宋体"/>
      <w:b/>
      <w:sz w:val="30"/>
      <w:szCs w:val="30"/>
      <w:lang w:eastAsia="en-US"/>
    </w:rPr>
  </w:style>
  <w:style w:type="paragraph" w:styleId="1144" w:customStyle="1">
    <w:name w:val="缺省文本"/>
    <w:basedOn w:val="969"/>
    <w:uiPriority w:val="0"/>
    <w:qFormat/>
    <w:pPr>
      <w:jc w:val="left"/>
    </w:pPr>
    <w:rPr>
      <w:sz w:val="24"/>
    </w:rPr>
  </w:style>
  <w:style w:type="paragraph" w:styleId="1145"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46" w:customStyle="1">
    <w:name w:val="Char Char1 Char Char Char Char Char Char Char Char"/>
    <w:basedOn w:val="969"/>
    <w:uiPriority w:val="0"/>
    <w:qFormat/>
    <w:pPr>
      <w:jc w:val="left"/>
      <w:spacing w:after="160" w:line="240" w:lineRule="exact"/>
      <w:widowControl/>
    </w:pPr>
    <w:rPr>
      <w:rFonts w:ascii="Verdana" w:hAnsi="Verdana"/>
      <w:sz w:val="20"/>
      <w:szCs w:val="20"/>
      <w:lang w:eastAsia="en-US"/>
    </w:rPr>
  </w:style>
  <w:style w:type="paragraph" w:styleId="1147" w:customStyle="1">
    <w:name w:val="Char3 Char Char Char2"/>
    <w:basedOn w:val="969"/>
    <w:uiPriority w:val="0"/>
    <w:qFormat/>
    <w:rPr>
      <w:rFonts w:ascii="Tahoma" w:hAnsi="Tahoma"/>
      <w:sz w:val="24"/>
      <w:szCs w:val="20"/>
    </w:rPr>
  </w:style>
  <w:style w:type="paragraph" w:styleId="1148" w:customStyle="1">
    <w:name w:val="xl25"/>
    <w:basedOn w:val="9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49" w:customStyle="1">
    <w:name w:val="font8"/>
    <w:basedOn w:val="969"/>
    <w:uiPriority w:val="0"/>
    <w:qFormat/>
    <w:pPr>
      <w:jc w:val="left"/>
      <w:spacing w:before="100" w:beforeAutospacing="1" w:after="100" w:afterAutospacing="1"/>
      <w:widowControl/>
    </w:pPr>
    <w:rPr>
      <w:sz w:val="36"/>
      <w:szCs w:val="36"/>
    </w:rPr>
  </w:style>
  <w:style w:type="paragraph" w:styleId="1150" w:customStyle="1">
    <w:name w:val="正文 + 宋体"/>
    <w:basedOn w:val="969"/>
    <w:uiPriority w:val="0"/>
    <w:qFormat/>
    <w:pPr>
      <w:ind w:left="360" w:hanging="360"/>
      <w:jc w:val="left"/>
      <w:widowControl/>
    </w:pPr>
    <w:rPr>
      <w:rFonts w:ascii="宋体" w:hAnsi="宋体" w:cs="宋体"/>
      <w:b/>
      <w:bCs/>
      <w:color w:val="000000"/>
      <w:sz w:val="18"/>
      <w:szCs w:val="18"/>
    </w:rPr>
  </w:style>
  <w:style w:type="paragraph" w:styleId="1151" w:customStyle="1">
    <w:name w:val="图例"/>
    <w:basedOn w:val="969"/>
    <w:uiPriority w:val="0"/>
    <w:qFormat/>
    <w:pPr>
      <w:jc w:val="center"/>
      <w:spacing w:before="120" w:after="120" w:line="360" w:lineRule="auto"/>
    </w:pPr>
    <w:rPr>
      <w:rFonts w:eastAsia="仿宋_GB2312"/>
      <w:b/>
      <w:sz w:val="24"/>
      <w:szCs w:val="20"/>
    </w:rPr>
  </w:style>
  <w:style w:type="paragraph" w:styleId="1152" w:customStyle="1">
    <w:name w:val="xl35"/>
    <w:basedOn w:val="96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3" w:customStyle="1">
    <w:name w:val="正文缩进2"/>
    <w:basedOn w:val="969"/>
    <w:uiPriority w:val="0"/>
    <w:qFormat/>
    <w:pPr>
      <w:ind w:firstLine="567"/>
      <w:spacing w:line="480" w:lineRule="exact"/>
      <w:widowControl/>
    </w:pPr>
    <w:rPr>
      <w:rFonts w:ascii="宋体"/>
      <w:color w:val="000000"/>
      <w:sz w:val="28"/>
      <w:szCs w:val="20"/>
      <w:lang w:val="zh-CN"/>
    </w:rPr>
  </w:style>
  <w:style w:type="paragraph" w:styleId="1154" w:customStyle="1">
    <w:name w:val="xl45"/>
    <w:basedOn w:val="96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55" w:customStyle="1">
    <w:name w:val="标题1-附件"/>
    <w:basedOn w:val="970"/>
    <w:uiPriority w:val="0"/>
    <w:qFormat/>
    <w:pPr>
      <w:jc w:val="left"/>
    </w:pPr>
    <w:rPr>
      <w:sz w:val="24"/>
      <w:szCs w:val="24"/>
    </w:rPr>
  </w:style>
  <w:style w:type="paragraph" w:styleId="1156" w:customStyle="1">
    <w:name w:val="项目符号1"/>
    <w:basedOn w:val="1141"/>
    <w:uiPriority w:val="0"/>
    <w:qFormat/>
    <w:pPr>
      <w:ind w:left="-25" w:firstLine="0"/>
    </w:pPr>
  </w:style>
  <w:style w:type="paragraph" w:styleId="1157" w:customStyle="1">
    <w:name w:val="_Style 160"/>
    <w:uiPriority w:val="0"/>
    <w:qFormat/>
    <w:rPr>
      <w:rFonts w:ascii="Times New Roman" w:hAnsi="Times New Roman" w:eastAsia="宋体" w:cs="Times New Roman"/>
      <w:sz w:val="21"/>
      <w:szCs w:val="24"/>
      <w:lang w:val="en-US" w:eastAsia="zh-CN" w:bidi="ar-SA"/>
    </w:rPr>
  </w:style>
  <w:style w:type="paragraph" w:styleId="1158" w:customStyle="1">
    <w:name w:val="Char Char1"/>
    <w:basedOn w:val="986"/>
    <w:uiPriority w:val="0"/>
    <w:qFormat/>
    <w:rPr>
      <w:rFonts w:ascii="Tahoma" w:hAnsi="Tahoma"/>
      <w:sz w:val="24"/>
    </w:rPr>
  </w:style>
  <w:style w:type="paragraph" w:styleId="1159" w:customStyle="1">
    <w:name w:val="xl41"/>
    <w:basedOn w:val="96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60" w:customStyle="1">
    <w:name w:val="样式 标题 2 + 宋体 五号 行距: 单倍行距"/>
    <w:basedOn w:val="971"/>
    <w:uiPriority w:val="0"/>
    <w:qFormat/>
    <w:pPr>
      <w:numPr>
        <w:ilvl w:val="1"/>
        <w:numId w:val="5"/>
      </w:numPr>
      <w:jc w:val="left"/>
      <w:spacing w:before="260" w:after="260" w:line="240" w:lineRule="auto"/>
    </w:pPr>
    <w:rPr>
      <w:rFonts w:ascii="宋体" w:hAnsi="宋体" w:eastAsia="宋体"/>
      <w:bCs/>
      <w:sz w:val="21"/>
    </w:rPr>
  </w:style>
  <w:style w:type="paragraph" w:styleId="1161" w:customStyle="1">
    <w:name w:val="图文"/>
    <w:basedOn w:val="969"/>
    <w:uiPriority w:val="0"/>
    <w:qFormat/>
    <w:pPr>
      <w:spacing w:after="50" w:line="360" w:lineRule="auto"/>
    </w:pPr>
    <w:rPr>
      <w:sz w:val="24"/>
    </w:rPr>
  </w:style>
  <w:style w:type="paragraph" w:styleId="1162" w:customStyle="1">
    <w:name w:val="表格文字"/>
    <w:basedOn w:val="990"/>
    <w:uiPriority w:val="0"/>
    <w:qFormat/>
    <w:pPr>
      <w:ind w:firstLine="0"/>
      <w:spacing w:before="20" w:after="20" w:line="240" w:lineRule="auto"/>
    </w:pPr>
    <w:rPr>
      <w:rFonts w:ascii="Century Gothic" w:hAnsi="Century Gothic"/>
      <w:sz w:val="20"/>
      <w:szCs w:val="20"/>
    </w:rPr>
  </w:style>
  <w:style w:type="paragraph" w:styleId="1163" w:customStyle="1">
    <w:name w:val="Char3"/>
    <w:basedOn w:val="969"/>
    <w:uiPriority w:val="0"/>
    <w:qFormat/>
    <w:pPr>
      <w:tabs>
        <w:tab w:val="left" w:pos="360" w:leader="none"/>
      </w:tabs>
    </w:pPr>
    <w:rPr>
      <w:sz w:val="24"/>
    </w:rPr>
  </w:style>
  <w:style w:type="paragraph" w:styleId="1164" w:customStyle="1">
    <w:name w:val="default"/>
    <w:basedOn w:val="969"/>
    <w:uiPriority w:val="0"/>
    <w:qFormat/>
    <w:pPr>
      <w:jc w:val="left"/>
      <w:spacing w:before="100" w:beforeAutospacing="1" w:after="100" w:afterAutospacing="1"/>
      <w:widowControl/>
    </w:pPr>
    <w:rPr>
      <w:rFonts w:ascii="宋体" w:hAnsi="宋体" w:cs="宋体"/>
      <w:sz w:val="24"/>
    </w:rPr>
  </w:style>
  <w:style w:type="paragraph" w:styleId="1165" w:customStyle="1">
    <w:name w:val="xl23"/>
    <w:basedOn w:val="969"/>
    <w:uiPriority w:val="0"/>
    <w:qFormat/>
    <w:pPr>
      <w:spacing w:before="100" w:beforeAutospacing="1" w:after="100" w:afterAutospacing="1" w:line="360" w:lineRule="auto"/>
      <w:widowControl/>
    </w:pPr>
    <w:rPr>
      <w:sz w:val="24"/>
      <w:szCs w:val="20"/>
    </w:rPr>
  </w:style>
  <w:style w:type="paragraph" w:styleId="1166" w:customStyle="1">
    <w:name w:val="font9"/>
    <w:basedOn w:val="969"/>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67" w:customStyle="1">
    <w:name w:val="Char Char Char Char Char Char Char2"/>
    <w:basedOn w:val="969"/>
    <w:uiPriority w:val="0"/>
    <w:qFormat/>
    <w:pPr>
      <w:ind w:firstLine="200"/>
      <w:spacing w:line="360" w:lineRule="auto"/>
    </w:pPr>
    <w:rPr>
      <w:rFonts w:eastAsia="仿宋_GB2312"/>
      <w:sz w:val="24"/>
    </w:rPr>
  </w:style>
  <w:style w:type="paragraph" w:styleId="1168" w:customStyle="1">
    <w:name w:val="xl50"/>
    <w:basedOn w:val="9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69" w:customStyle="1">
    <w:name w:val="Char2 Char Char Char Char Char Char1"/>
    <w:basedOn w:val="969"/>
    <w:uiPriority w:val="0"/>
    <w:qFormat/>
    <w:pPr>
      <w:jc w:val="center"/>
      <w:spacing w:line="400" w:lineRule="exact"/>
      <w:widowControl/>
    </w:pPr>
  </w:style>
  <w:style w:type="paragraph" w:styleId="1170" w:customStyle="1">
    <w:name w:val="xl52"/>
    <w:basedOn w:val="96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71" w:customStyle="1">
    <w:name w:val="Char Char Char Char Char Char Char"/>
    <w:basedOn w:val="969"/>
    <w:uiPriority w:val="0"/>
    <w:qFormat/>
    <w:pPr>
      <w:ind w:firstLine="200"/>
      <w:spacing w:line="360" w:lineRule="auto"/>
    </w:pPr>
    <w:rPr>
      <w:rFonts w:eastAsia="仿宋_GB2312"/>
      <w:sz w:val="24"/>
    </w:rPr>
  </w:style>
  <w:style w:type="paragraph" w:styleId="1172" w:customStyle="1">
    <w:name w:val="xl38"/>
    <w:basedOn w:val="9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73" w:customStyle="1">
    <w:name w:val="图中文字"/>
    <w:basedOn w:val="969"/>
    <w:uiPriority w:val="0"/>
    <w:qFormat/>
    <w:pPr>
      <w:jc w:val="center"/>
      <w:spacing w:line="0" w:lineRule="atLeast"/>
    </w:pPr>
    <w:rPr>
      <w:sz w:val="24"/>
      <w:szCs w:val="20"/>
    </w:rPr>
  </w:style>
  <w:style w:type="paragraph" w:styleId="1174" w:customStyle="1">
    <w:name w:val="xl51"/>
    <w:basedOn w:val="96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75" w:customStyle="1">
    <w:name w:val="正文1"/>
    <w:basedOn w:val="969"/>
    <w:uiPriority w:val="0"/>
    <w:qFormat/>
    <w:pPr>
      <w:contextualSpacing/>
      <w:ind w:firstLine="200"/>
      <w:jc w:val="left"/>
      <w:spacing w:before="120" w:after="120"/>
      <w:widowControl/>
    </w:pPr>
    <w:rPr>
      <w:rFonts w:ascii="Calibri" w:hAnsi="Calibri" w:eastAsia="Adobe 仿宋 Std R"/>
      <w:sz w:val="24"/>
    </w:rPr>
  </w:style>
  <w:style w:type="paragraph" w:styleId="1176" w:customStyle="1">
    <w:name w:val="Char Char Char Char Char Char Char Char Char Char"/>
    <w:basedOn w:val="969"/>
    <w:uiPriority w:val="0"/>
    <w:qFormat/>
  </w:style>
  <w:style w:type="paragraph" w:styleId="1177" w:customStyle="1">
    <w:name w:val="xl37"/>
    <w:basedOn w:val="96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8" w:customStyle="1">
    <w:name w:val="font7"/>
    <w:basedOn w:val="969"/>
    <w:uiPriority w:val="0"/>
    <w:qFormat/>
    <w:pPr>
      <w:jc w:val="left"/>
      <w:spacing w:before="100" w:beforeAutospacing="1" w:after="100" w:afterAutospacing="1"/>
      <w:widowControl/>
    </w:pPr>
    <w:rPr>
      <w:rFonts w:eastAsia="Arial Unicode MS"/>
      <w:b/>
      <w:bCs/>
      <w:color w:val="000000"/>
      <w:sz w:val="20"/>
      <w:szCs w:val="20"/>
    </w:rPr>
  </w:style>
  <w:style w:type="paragraph" w:styleId="1179" w:customStyle="1">
    <w:name w:val="Char Char Char Char Char Char Char1"/>
    <w:basedOn w:val="969"/>
    <w:uiPriority w:val="0"/>
    <w:qFormat/>
    <w:pPr>
      <w:ind w:firstLine="200"/>
      <w:spacing w:line="360" w:lineRule="auto"/>
    </w:pPr>
    <w:rPr>
      <w:rFonts w:eastAsia="仿宋_GB2312"/>
      <w:sz w:val="24"/>
    </w:rPr>
  </w:style>
  <w:style w:type="paragraph" w:styleId="1180" w:customStyle="1">
    <w:name w:val="background1"/>
    <w:basedOn w:val="969"/>
    <w:uiPriority w:val="0"/>
    <w:qFormat/>
    <w:pPr>
      <w:jc w:val="left"/>
      <w:spacing w:before="100" w:beforeAutospacing="1" w:after="100" w:afterAutospacing="1"/>
      <w:widowControl/>
    </w:pPr>
    <w:rPr>
      <w:rFonts w:ascii="宋体" w:hAnsi="宋体" w:cs="宋体"/>
      <w:sz w:val="24"/>
    </w:rPr>
  </w:style>
  <w:style w:type="paragraph" w:styleId="1181" w:customStyle="1">
    <w:name w:val="字元 字元1"/>
    <w:basedOn w:val="969"/>
    <w:uiPriority w:val="0"/>
    <w:qFormat/>
    <w:rPr>
      <w:rFonts w:ascii="Tahoma" w:hAnsi="Tahoma"/>
      <w:sz w:val="24"/>
      <w:szCs w:val="20"/>
    </w:rPr>
  </w:style>
  <w:style w:type="paragraph" w:styleId="1182" w:customStyle="1">
    <w:name w:val="xl34"/>
    <w:basedOn w:val="9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83" w:customStyle="1">
    <w:name w:val="xl42"/>
    <w:basedOn w:val="9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84" w:customStyle="1">
    <w:name w:val="xl28"/>
    <w:basedOn w:val="9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85" w:customStyle="1">
    <w:name w:val="正文文本样式 加粗"/>
    <w:basedOn w:val="1141"/>
    <w:uiPriority w:val="0"/>
    <w:qFormat/>
    <w:rPr>
      <w:b/>
    </w:rPr>
  </w:style>
  <w:style w:type="paragraph" w:styleId="1186" w:customStyle="1">
    <w:name w:val="xl43"/>
    <w:basedOn w:val="96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87" w:customStyle="1">
    <w:name w:val="Char Char4"/>
    <w:basedOn w:val="969"/>
    <w:uiPriority w:val="0"/>
    <w:qFormat/>
    <w:pPr>
      <w:jc w:val="center"/>
      <w:spacing w:line="400" w:lineRule="exact"/>
      <w:widowControl/>
    </w:pPr>
  </w:style>
  <w:style w:type="paragraph" w:styleId="1188">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189" w:customStyle="1">
    <w:name w:val="修订1"/>
    <w:uiPriority w:val="0"/>
    <w:qFormat/>
    <w:rPr>
      <w:rFonts w:ascii="Times New Roman" w:hAnsi="Times New Roman" w:eastAsia="宋体" w:cs="Times New Roman"/>
      <w:sz w:val="21"/>
      <w:szCs w:val="24"/>
      <w:lang w:val="en-US" w:eastAsia="zh-CN" w:bidi="ar-SA"/>
    </w:rPr>
  </w:style>
  <w:style w:type="paragraph" w:styleId="1190" w:customStyle="1">
    <w:name w:val="Char Char Char2"/>
    <w:basedOn w:val="969"/>
    <w:uiPriority w:val="0"/>
    <w:qFormat/>
    <w:rPr>
      <w:rFonts w:ascii="Tahoma" w:hAnsi="Tahoma"/>
      <w:sz w:val="24"/>
      <w:szCs w:val="20"/>
    </w:rPr>
  </w:style>
  <w:style w:type="paragraph" w:styleId="1191" w:customStyle="1">
    <w:name w:val="样式2"/>
    <w:basedOn w:val="1014"/>
    <w:uiPriority w:val="0"/>
    <w:qFormat/>
    <w:pPr>
      <w:jc w:val="center"/>
      <w:spacing w:line="360" w:lineRule="auto"/>
    </w:pPr>
    <w:rPr>
      <w:sz w:val="24"/>
    </w:rPr>
  </w:style>
  <w:style w:type="paragraph" w:styleId="1192" w:customStyle="1">
    <w:name w:val="正文须知-1级"/>
    <w:basedOn w:val="969"/>
    <w:next w:val="969"/>
    <w:uiPriority w:val="0"/>
    <w:qFormat/>
    <w:pPr>
      <w:numPr>
        <w:ilvl w:val="0"/>
        <w:numId w:val="6"/>
      </w:numPr>
      <w:spacing w:line="300" w:lineRule="auto"/>
    </w:pPr>
    <w:rPr>
      <w:rFonts w:ascii="宋体" w:hAnsi="Calibri"/>
      <w:sz w:val="24"/>
      <w:szCs w:val="21"/>
    </w:rPr>
  </w:style>
  <w:style w:type="paragraph" w:styleId="1193" w:customStyle="1">
    <w:name w:val="Char Char1 Char Char Char Char Char Char1"/>
    <w:basedOn w:val="969"/>
    <w:uiPriority w:val="0"/>
    <w:qFormat/>
    <w:pPr>
      <w:jc w:val="left"/>
      <w:spacing w:after="160" w:line="240" w:lineRule="exact"/>
      <w:widowControl/>
    </w:pPr>
    <w:rPr>
      <w:rFonts w:ascii="Verdana" w:hAnsi="Verdana" w:eastAsia="仿宋_GB2312"/>
      <w:sz w:val="24"/>
      <w:szCs w:val="20"/>
      <w:lang w:eastAsia="en-US"/>
    </w:rPr>
  </w:style>
  <w:style w:type="paragraph" w:styleId="1194" w:customStyle="1">
    <w:name w:val="Char21"/>
    <w:basedOn w:val="969"/>
    <w:uiPriority w:val="0"/>
    <w:qFormat/>
    <w:rPr>
      <w:rFonts w:ascii="Tahoma" w:hAnsi="Tahoma"/>
      <w:sz w:val="24"/>
      <w:szCs w:val="20"/>
    </w:rPr>
  </w:style>
  <w:style w:type="paragraph" w:styleId="1195" w:customStyle="1">
    <w:name w:val="Char3 Char Char Char1"/>
    <w:basedOn w:val="969"/>
    <w:uiPriority w:val="0"/>
    <w:qFormat/>
    <w:rPr>
      <w:rFonts w:ascii="Tahoma" w:hAnsi="Tahoma"/>
      <w:sz w:val="24"/>
      <w:szCs w:val="20"/>
    </w:rPr>
  </w:style>
  <w:style w:type="paragraph" w:styleId="1196" w:customStyle="1">
    <w:name w:val="正文须知-3级"/>
    <w:basedOn w:val="969"/>
    <w:uiPriority w:val="0"/>
    <w:qFormat/>
    <w:pPr>
      <w:numPr>
        <w:ilvl w:val="2"/>
        <w:numId w:val="6"/>
      </w:numPr>
      <w:ind w:hanging="355"/>
      <w:spacing w:line="300" w:lineRule="auto"/>
    </w:pPr>
    <w:rPr>
      <w:rFonts w:ascii="宋体" w:hAnsi="Calibri"/>
      <w:sz w:val="24"/>
      <w:szCs w:val="21"/>
    </w:rPr>
  </w:style>
  <w:style w:type="paragraph" w:styleId="1197" w:customStyle="1">
    <w:name w:val="Char Char Char Char Char Char Char Char Char Char1"/>
    <w:basedOn w:val="969"/>
    <w:uiPriority w:val="0"/>
    <w:qFormat/>
    <w:rPr>
      <w:rFonts w:ascii="宋体" w:hAnsi="宋体" w:cs="Courier New"/>
      <w:sz w:val="32"/>
      <w:szCs w:val="32"/>
    </w:rPr>
  </w:style>
  <w:style w:type="paragraph" w:styleId="1198" w:customStyle="1">
    <w:name w:val="正文列项_数字"/>
    <w:basedOn w:val="969"/>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99" w:customStyle="1">
    <w:name w:val="Char Char Char1 Char"/>
    <w:basedOn w:val="969"/>
    <w:uiPriority w:val="0"/>
    <w:qFormat/>
    <w:rPr>
      <w:rFonts w:ascii="Tahoma" w:hAnsi="Tahoma"/>
      <w:sz w:val="24"/>
      <w:szCs w:val="20"/>
    </w:rPr>
  </w:style>
  <w:style w:type="paragraph" w:styleId="1200" w:customStyle="1">
    <w:name w:val="xl24"/>
    <w:basedOn w:val="9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01" w:customStyle="1">
    <w:name w:val="样式 宋体 五号 行距: 单倍行距"/>
    <w:basedOn w:val="969"/>
    <w:uiPriority w:val="0"/>
    <w:qFormat/>
    <w:pPr>
      <w:jc w:val="left"/>
    </w:pPr>
    <w:rPr>
      <w:rFonts w:ascii="宋体" w:hAnsi="宋体"/>
      <w:szCs w:val="20"/>
    </w:rPr>
  </w:style>
  <w:style w:type="paragraph" w:styleId="1202" w:customStyle="1">
    <w:name w:val="列出段落1"/>
    <w:basedOn w:val="969"/>
    <w:uiPriority w:val="0"/>
    <w:qFormat/>
    <w:pPr>
      <w:ind w:firstLine="420"/>
    </w:pPr>
    <w:rPr>
      <w:rFonts w:ascii="Calibri" w:hAnsi="Calibri"/>
      <w:szCs w:val="22"/>
    </w:rPr>
  </w:style>
  <w:style w:type="paragraph" w:styleId="1203" w:customStyle="1">
    <w:name w:val="Char1"/>
    <w:basedOn w:val="969"/>
    <w:uiPriority w:val="0"/>
    <w:qFormat/>
    <w:pPr>
      <w:tabs>
        <w:tab w:val="left" w:pos="360" w:leader="none"/>
      </w:tabs>
    </w:pPr>
    <w:rPr>
      <w:sz w:val="24"/>
    </w:rPr>
  </w:style>
  <w:style w:type="paragraph" w:styleId="1204" w:customStyle="1">
    <w:name w:val="纯文本1"/>
    <w:basedOn w:val="969"/>
    <w:uiPriority w:val="99"/>
    <w:qFormat/>
    <w:rPr>
      <w:rFonts w:ascii="宋体" w:hAnsi="Courier New" w:eastAsia="楷体_GB2312"/>
      <w:sz w:val="26"/>
      <w:szCs w:val="20"/>
    </w:rPr>
  </w:style>
  <w:style w:type="paragraph" w:styleId="1205" w:customStyle="1">
    <w:name w:val="xl29"/>
    <w:basedOn w:val="9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06" w:customStyle="1">
    <w:name w:val="font5"/>
    <w:basedOn w:val="969"/>
    <w:uiPriority w:val="0"/>
    <w:qFormat/>
    <w:pPr>
      <w:jc w:val="left"/>
      <w:spacing w:before="100" w:beforeAutospacing="1" w:after="100" w:afterAutospacing="1"/>
      <w:widowControl/>
    </w:pPr>
    <w:rPr>
      <w:rFonts w:ascii="宋体" w:hAnsi="宋体" w:cs="宋体"/>
      <w:sz w:val="18"/>
      <w:szCs w:val="18"/>
    </w:rPr>
  </w:style>
  <w:style w:type="paragraph" w:styleId="1207" w:customStyle="1">
    <w:name w:val="1名"/>
    <w:basedOn w:val="969"/>
    <w:uiPriority w:val="0"/>
    <w:qFormat/>
    <w:pPr>
      <w:numPr>
        <w:ilvl w:val="0"/>
        <w:numId w:val="7"/>
      </w:numPr>
      <w:spacing w:before="120"/>
    </w:pPr>
    <w:rPr>
      <w:rFonts w:ascii="宋体"/>
      <w:sz w:val="28"/>
      <w:szCs w:val="20"/>
    </w:rPr>
  </w:style>
  <w:style w:type="paragraph" w:styleId="1208" w:customStyle="1">
    <w:name w:val="Char Char Char Char Char Char Char Char Char Char2"/>
    <w:basedOn w:val="969"/>
    <w:uiPriority w:val="0"/>
    <w:qFormat/>
    <w:rPr>
      <w:rFonts w:ascii="宋体" w:hAnsi="宋体" w:cs="Courier New"/>
      <w:sz w:val="32"/>
      <w:szCs w:val="32"/>
    </w:rPr>
  </w:style>
  <w:style w:type="paragraph" w:styleId="1209" w:customStyle="1">
    <w:name w:val="xl33"/>
    <w:basedOn w:val="9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10" w:customStyle="1">
    <w:name w:val="字元 字元"/>
    <w:basedOn w:val="969"/>
    <w:uiPriority w:val="0"/>
    <w:qFormat/>
    <w:rPr>
      <w:rFonts w:ascii="Tahoma" w:hAnsi="Tahoma"/>
      <w:sz w:val="24"/>
      <w:szCs w:val="20"/>
    </w:rPr>
  </w:style>
  <w:style w:type="paragraph" w:styleId="1211" w:customStyle="1">
    <w:name w:val="正文文本缩进2"/>
    <w:basedOn w:val="969"/>
    <w:uiPriority w:val="0"/>
    <w:qFormat/>
    <w:pPr>
      <w:ind w:firstLine="480"/>
      <w:spacing w:line="480" w:lineRule="exact"/>
    </w:pPr>
    <w:rPr>
      <w:rFonts w:ascii="宋体" w:hAnsi="宋体"/>
      <w:sz w:val="24"/>
      <w:lang w:val="zh-CN"/>
    </w:rPr>
  </w:style>
  <w:style w:type="paragraph" w:styleId="1212" w:customStyle="1">
    <w:name w:val="xl27"/>
    <w:basedOn w:val="9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13" w:customStyle="1">
    <w:name w:val="xl39"/>
    <w:basedOn w:val="9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14" w:customStyle="1">
    <w:name w:val="xl44"/>
    <w:basedOn w:val="96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215" w:customStyle="1">
    <w:name w:val="xl47"/>
    <w:basedOn w:val="96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16" w:customStyle="1">
    <w:name w:val="Char3 Char Char Char"/>
    <w:basedOn w:val="969"/>
    <w:uiPriority w:val="0"/>
    <w:qFormat/>
    <w:rPr>
      <w:rFonts w:ascii="Tahoma" w:hAnsi="Tahoma"/>
      <w:sz w:val="24"/>
      <w:szCs w:val="20"/>
    </w:rPr>
  </w:style>
  <w:style w:type="paragraph" w:styleId="1217" w:customStyle="1">
    <w:name w:val="22222222222222"/>
    <w:basedOn w:val="969"/>
    <w:uiPriority w:val="0"/>
    <w:qFormat/>
    <w:pPr>
      <w:ind w:firstLine="480"/>
      <w:jc w:val="left"/>
      <w:spacing w:line="360" w:lineRule="auto"/>
      <w:widowControl/>
    </w:pPr>
    <w:rPr>
      <w:color w:val="ff0000"/>
      <w:sz w:val="24"/>
      <w:szCs w:val="20"/>
    </w:rPr>
  </w:style>
  <w:style w:type="paragraph" w:styleId="1218" w:customStyle="1">
    <w:name w:val="xl40"/>
    <w:basedOn w:val="9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19" w:customStyle="1">
    <w:name w:val="默认段落字体 Para Char Char Char Char"/>
    <w:basedOn w:val="969"/>
    <w:uiPriority w:val="0"/>
    <w:qFormat/>
    <w:rPr>
      <w:rFonts w:ascii="Arial" w:hAnsi="Arial" w:cs="Arial"/>
      <w:szCs w:val="21"/>
    </w:rPr>
  </w:style>
  <w:style w:type="paragraph" w:styleId="1220" w:customStyle="1">
    <w:name w:val="字元 字元2"/>
    <w:basedOn w:val="969"/>
    <w:uiPriority w:val="0"/>
    <w:qFormat/>
    <w:rPr>
      <w:rFonts w:ascii="Tahoma" w:hAnsi="Tahoma"/>
      <w:sz w:val="24"/>
      <w:szCs w:val="20"/>
    </w:rPr>
  </w:style>
  <w:style w:type="paragraph" w:styleId="1221" w:customStyle="1">
    <w:name w:val="xl46"/>
    <w:basedOn w:val="969"/>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222" w:customStyle="1">
    <w:name w:val="Char Char Char"/>
    <w:basedOn w:val="969"/>
    <w:uiPriority w:val="0"/>
    <w:qFormat/>
    <w:rPr>
      <w:rFonts w:ascii="Tahoma" w:hAnsi="Tahoma"/>
      <w:sz w:val="24"/>
      <w:szCs w:val="20"/>
    </w:rPr>
  </w:style>
  <w:style w:type="paragraph" w:styleId="1223" w:customStyle="1">
    <w:name w:val="文档正文"/>
    <w:basedOn w:val="969"/>
    <w:uiPriority w:val="0"/>
    <w:qFormat/>
    <w:pPr>
      <w:spacing w:before="120" w:after="120" w:line="180" w:lineRule="auto"/>
    </w:pPr>
    <w:rPr>
      <w:rFonts w:ascii="Arial" w:hAnsi="Arial"/>
      <w:szCs w:val="20"/>
    </w:rPr>
  </w:style>
  <w:style w:type="paragraph" w:styleId="1224" w:customStyle="1">
    <w:name w:val="Char Char41"/>
    <w:basedOn w:val="969"/>
    <w:uiPriority w:val="0"/>
    <w:qFormat/>
    <w:pPr>
      <w:jc w:val="center"/>
      <w:spacing w:line="400" w:lineRule="exact"/>
      <w:widowControl/>
    </w:pPr>
  </w:style>
  <w:style w:type="paragraph" w:styleId="1225" w:customStyle="1">
    <w:name w:val="Char1 Char Char Char1"/>
    <w:basedOn w:val="969"/>
    <w:uiPriority w:val="0"/>
    <w:qFormat/>
    <w:rPr>
      <w:rFonts w:ascii="Tahoma" w:hAnsi="Tahoma" w:cs="仿宋_GB2312"/>
      <w:sz w:val="24"/>
      <w:szCs w:val="28"/>
    </w:rPr>
  </w:style>
  <w:style w:type="paragraph" w:styleId="1226" w:customStyle="1">
    <w:name w:val="1 Char Char Char Char"/>
    <w:basedOn w:val="969"/>
    <w:uiPriority w:val="0"/>
    <w:qFormat/>
    <w:rPr>
      <w:rFonts w:ascii="Tahoma" w:hAnsi="Tahoma"/>
      <w:sz w:val="24"/>
      <w:szCs w:val="20"/>
    </w:rPr>
  </w:style>
  <w:style w:type="paragraph" w:styleId="1227" w:customStyle="1">
    <w:name w:val="Heading 4"/>
    <w:basedOn w:val="969"/>
    <w:next w:val="969"/>
    <w:uiPriority w:val="0"/>
    <w:qFormat/>
    <w:pPr>
      <w:keepLines/>
      <w:keepNext/>
      <w:spacing w:before="120" w:after="120"/>
    </w:pPr>
    <w:rPr>
      <w:rFonts w:ascii="Arial" w:hAnsi="Arial" w:eastAsia="黑体"/>
      <w:b/>
      <w:sz w:val="28"/>
    </w:rPr>
  </w:style>
  <w:style w:type="paragraph" w:styleId="1228" w:customStyle="1">
    <w:name w:val="Char2 Char Char Char Char Char Char"/>
    <w:basedOn w:val="969"/>
    <w:uiPriority w:val="0"/>
    <w:qFormat/>
    <w:pPr>
      <w:jc w:val="center"/>
      <w:spacing w:line="400" w:lineRule="exact"/>
      <w:widowControl/>
    </w:pPr>
  </w:style>
  <w:style w:type="paragraph" w:styleId="1229" w:customStyle="1">
    <w:name w:val="无标题条"/>
    <w:next w:val="969"/>
    <w:uiPriority w:val="0"/>
    <w:qFormat/>
    <w:pPr>
      <w:jc w:val="both"/>
    </w:pPr>
    <w:rPr>
      <w:rFonts w:ascii="Times New Roman" w:hAnsi="Times New Roman" w:eastAsia="宋体" w:cs="Times New Roman"/>
      <w:sz w:val="21"/>
      <w:lang w:val="en-US" w:eastAsia="zh-CN" w:bidi="ar-SA"/>
    </w:rPr>
  </w:style>
  <w:style w:type="paragraph" w:styleId="1230" w:customStyle="1">
    <w:name w:val="普通正文"/>
    <w:basedOn w:val="969"/>
    <w:uiPriority w:val="0"/>
    <w:qFormat/>
    <w:pPr>
      <w:ind w:firstLine="480"/>
      <w:jc w:val="left"/>
      <w:spacing w:before="120" w:after="120" w:line="360" w:lineRule="auto"/>
    </w:pPr>
    <w:rPr>
      <w:rFonts w:ascii="Arial" w:hAnsi="Arial"/>
      <w:sz w:val="24"/>
    </w:rPr>
  </w:style>
  <w:style w:type="paragraph" w:styleId="1231"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232" w:customStyle="1">
    <w:name w:val="xl49"/>
    <w:basedOn w:val="9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233" w:customStyle="1">
    <w:name w:val="五级条标题"/>
    <w:basedOn w:val="1119"/>
    <w:next w:val="969"/>
    <w:uiPriority w:val="0"/>
    <w:qFormat/>
    <w:pPr>
      <w:numPr>
        <w:ilvl w:val="5"/>
      </w:numPr>
      <w:ind w:left="0" w:hanging="840"/>
      <w:outlineLvl w:val="5"/>
    </w:pPr>
  </w:style>
  <w:style w:type="paragraph" w:styleId="1234" w:customStyle="1">
    <w:name w:val="font6"/>
    <w:basedOn w:val="969"/>
    <w:uiPriority w:val="0"/>
    <w:qFormat/>
    <w:pPr>
      <w:jc w:val="left"/>
      <w:spacing w:before="100" w:beforeAutospacing="1" w:after="100" w:afterAutospacing="1"/>
      <w:widowControl/>
    </w:pPr>
    <w:rPr>
      <w:rFonts w:ascii="宋体" w:hAnsi="宋体" w:cs="宋体"/>
      <w:sz w:val="20"/>
      <w:szCs w:val="20"/>
    </w:rPr>
  </w:style>
  <w:style w:type="paragraph" w:styleId="1235" w:customStyle="1">
    <w:name w:val="正文须知-2级"/>
    <w:basedOn w:val="969"/>
    <w:uiPriority w:val="0"/>
    <w:qFormat/>
    <w:pPr>
      <w:numPr>
        <w:ilvl w:val="1"/>
        <w:numId w:val="6"/>
      </w:numPr>
      <w:spacing w:line="300" w:lineRule="auto"/>
    </w:pPr>
    <w:rPr>
      <w:rFonts w:ascii="宋体" w:hAnsi="Calibri"/>
      <w:sz w:val="24"/>
      <w:szCs w:val="21"/>
    </w:rPr>
  </w:style>
  <w:style w:type="paragraph" w:styleId="1236" w:customStyle="1">
    <w:name w:val="xl26"/>
    <w:basedOn w:val="9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237" w:customStyle="1">
    <w:name w:val="Table Paragraph"/>
    <w:basedOn w:val="969"/>
    <w:uiPriority w:val="1"/>
    <w:qFormat/>
    <w:pPr>
      <w:jc w:val="left"/>
    </w:pPr>
    <w:rPr>
      <w:rFonts w:ascii="宋体" w:hAnsi="宋体" w:cs="宋体"/>
      <w:sz w:val="22"/>
      <w:szCs w:val="22"/>
      <w:lang w:eastAsia="en-US"/>
    </w:rPr>
  </w:style>
  <w:style w:type="paragraph" w:styleId="1238" w:customStyle="1">
    <w:name w:val="列出段落2"/>
    <w:basedOn w:val="969"/>
    <w:uiPriority w:val="0"/>
    <w:qFormat/>
    <w:pPr>
      <w:ind w:firstLine="420"/>
    </w:pPr>
    <w:rPr>
      <w:rFonts w:ascii="Calibri" w:hAnsi="Calibri"/>
      <w:szCs w:val="22"/>
    </w:rPr>
  </w:style>
  <w:style w:type="paragraph" w:styleId="1239" w:customStyle="1">
    <w:name w:val="Char"/>
    <w:basedOn w:val="969"/>
    <w:uiPriority w:val="0"/>
    <w:qFormat/>
    <w:pPr>
      <w:tabs>
        <w:tab w:val="left" w:pos="360" w:leader="none"/>
      </w:tabs>
    </w:pPr>
    <w:rPr>
      <w:sz w:val="24"/>
    </w:rPr>
  </w:style>
  <w:style w:type="paragraph" w:styleId="1240" w:customStyle="1">
    <w:name w:val="xl53"/>
    <w:basedOn w:val="9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41" w:customStyle="1">
    <w:name w:val="正文缩进3"/>
    <w:basedOn w:val="969"/>
    <w:uiPriority w:val="0"/>
    <w:qFormat/>
    <w:pPr>
      <w:ind w:left="200" w:firstLine="420"/>
      <w:spacing w:before="50"/>
    </w:pPr>
    <w:rPr>
      <w:sz w:val="24"/>
      <w:szCs w:val="20"/>
    </w:rPr>
  </w:style>
  <w:style w:type="paragraph" w:styleId="1242">
    <w:name w:val="Intense Quote"/>
    <w:basedOn w:val="969"/>
    <w:next w:val="969"/>
    <w:uiPriority w:val="0"/>
    <w:qFormat/>
    <w:pPr>
      <w:ind w:left="950" w:right="950"/>
      <w:jc w:val="center"/>
      <w:spacing w:before="360" w:after="360"/>
    </w:pPr>
    <w:rPr>
      <w:rFonts w:ascii="宋体" w:hAnsi="宋体" w:eastAsia="Times New Roman"/>
      <w:i/>
    </w:rPr>
  </w:style>
  <w:style w:type="table" w:styleId="1243"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44" w:customStyle="1">
    <w:name w:val="段"/>
    <w:basedOn w:val="969"/>
    <w:next w:val="969"/>
    <w:uiPriority w:val="0"/>
    <w:qFormat/>
    <w:pPr>
      <w:ind w:firstLine="425"/>
    </w:pPr>
    <w:rPr>
      <w:rFonts w:ascii="宋体"/>
    </w:rPr>
  </w:style>
  <w:style w:type="paragraph" w:styleId="1245" w:customStyle="1">
    <w:name w:val="目录 11"/>
    <w:basedOn w:val="969"/>
    <w:next w:val="969"/>
    <w:uiPriority w:val="39"/>
    <w:qFormat/>
    <w:pPr>
      <w:spacing w:line="300" w:lineRule="auto"/>
    </w:pPr>
    <w:rPr>
      <w:rFonts w:ascii="宋体" w:hAnsi="宋体"/>
      <w:b/>
      <w:sz w:val="24"/>
    </w:rPr>
  </w:style>
  <w:style w:type="paragraph" w:styleId="1246" w:customStyle="1">
    <w:name w:val="Table Text"/>
    <w:basedOn w:val="969"/>
    <w:uiPriority w:val="0"/>
    <w:semiHidden/>
    <w:qFormat/>
    <w:rPr>
      <w:rFonts w:ascii="宋体" w:hAnsi="宋体" w:cs="宋体"/>
      <w:sz w:val="20"/>
      <w:szCs w:val="20"/>
      <w:lang w:eastAsia="en-US"/>
    </w:rPr>
  </w:style>
  <w:style w:type="character" w:styleId="1247" w:customStyle="1">
    <w:name w:val="text_o3fq3"/>
    <w:basedOn w:val="979"/>
    <w:uiPriority w:val="0"/>
    <w:qFormat/>
  </w:style>
  <w:style w:type="character" w:styleId="1248" w:customStyle="1">
    <w:name w:val="font41"/>
    <w:uiPriority w:val="0"/>
    <w:qFormat/>
    <w:rPr>
      <w:rFonts w:hint="eastAsia" w:ascii="宋体" w:hAnsi="宋体" w:eastAsia="宋体" w:cs="宋体"/>
      <w:color w:val="000000"/>
      <w:sz w:val="22"/>
      <w:szCs w:val="22"/>
      <w:u w:val="none"/>
    </w:rPr>
  </w:style>
  <w:style w:type="paragraph" w:styleId="1249" w:customStyle="1">
    <w:name w:val="标题 11"/>
    <w:basedOn w:val="969"/>
    <w:next w:val="969"/>
    <w:uiPriority w:val="0"/>
    <w:qFormat/>
    <w:pPr>
      <w:jc w:val="center"/>
      <w:keepNext/>
      <w:outlineLvl w:val="0"/>
    </w:pPr>
    <w:rPr>
      <w:rFonts w:ascii="楷体_GB2312" w:eastAsia="楷体_GB2312"/>
      <w:sz w:val="28"/>
      <w:szCs w:val="28"/>
    </w:rPr>
  </w:style>
  <w:style w:type="paragraph" w:styleId="1250" w:customStyle="1">
    <w:name w:val="样式4"/>
    <w:basedOn w:val="969"/>
    <w:uiPriority w:val="0"/>
    <w:qFormat/>
    <w:rPr>
      <w:sz w:val="24"/>
    </w:rPr>
  </w:style>
  <w:style w:type="paragraph" w:styleId="1251" w:customStyle="1">
    <w:name w:val="正文内容"/>
    <w:basedOn w:val="969"/>
    <w:uiPriority w:val="5"/>
    <w:qFormat/>
    <w:pPr>
      <w:ind w:firstLine="200"/>
      <w:spacing w:line="360" w:lineRule="auto"/>
    </w:pPr>
    <w:rPr>
      <w:rFonts w:ascii="Times New Roman" w:hAnsi="Times New Roman"/>
      <w:sz w:val="24"/>
    </w:rPr>
  </w:style>
  <w:style w:type="paragraph" w:styleId="1252" w:customStyle="1">
    <w:name w:val="正文（缩进）"/>
    <w:basedOn w:val="969"/>
    <w:uiPriority w:val="0"/>
    <w:qFormat/>
    <w:pPr>
      <w:ind w:firstLine="200"/>
    </w:pPr>
    <w:rPr>
      <w:rFonts w:ascii="宋体" w:hAnsi="宋体"/>
      <w:szCs w:val="28"/>
    </w:rPr>
  </w:style>
  <w:style w:type="numbering" w:styleId="12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孔燕芬</cp:lastModifiedBy>
  <cp:revision>11</cp:revision>
  <dcterms:created xsi:type="dcterms:W3CDTF">2024-11-15T06:09:00Z</dcterms:created>
  <dcterms:modified xsi:type="dcterms:W3CDTF">2025-11-24T09:57:57Z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9021921272C54545866194FBF16200AE</vt:lpwstr>
  </property>
  <property fmtid="{D5CDD505-2E9C-101B-9397-08002B2CF9AE}" pid="4" name="KSOTemplateDocerSaveRecord">
    <vt:lpwstr>eyJoZGlkIjoiZTE2YmNlMDQ5NDlkODE3MWU2ZWEyZmM1ZDJjNzA1MTAiLCJ1c2VySWQiOiI1NzUxNzY3ODcifQ==</vt:lpwstr>
  </property>
</Properties>
</file>